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57D" w:rsidRPr="00C5657D" w:rsidRDefault="00C5657D" w:rsidP="00C5657D">
      <w:pPr>
        <w:spacing w:before="300" w:after="150" w:line="240" w:lineRule="auto"/>
        <w:outlineLvl w:val="1"/>
        <w:rPr>
          <w:rFonts w:ascii="inherit" w:eastAsia="Times New Roman" w:hAnsi="inherit" w:cs="Calibri"/>
          <w:color w:val="222222"/>
          <w:sz w:val="45"/>
          <w:szCs w:val="45"/>
          <w:lang w:eastAsia="nb-NO"/>
        </w:rPr>
      </w:pPr>
      <w:r w:rsidRPr="00C5657D">
        <w:rPr>
          <w:rFonts w:ascii="inherit" w:eastAsia="Times New Roman" w:hAnsi="inherit" w:cs="Calibri"/>
          <w:color w:val="222222"/>
          <w:sz w:val="45"/>
          <w:szCs w:val="45"/>
          <w:lang w:eastAsia="nb-NO"/>
        </w:rPr>
        <w:t>Høringsbrev</w:t>
      </w:r>
    </w:p>
    <w:p w:rsidR="00C5657D" w:rsidRPr="00C5657D" w:rsidRDefault="00C5657D" w:rsidP="00C5657D">
      <w:pPr>
        <w:spacing w:after="15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nb-NO"/>
        </w:rPr>
      </w:pPr>
      <w:r w:rsidRPr="00C5657D"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>Helsedirektoratet fikk i 2016 oppdrag fra Helse- og omsorgsdepartementet (HOD) å utarbeide Pakkeforløp for psykisk helse og rus. Dette er et utviklingsarbeid basert på samarbeid med brukere og fagmiljø i alle deler av helse¬- og omsorgstjenesten, samt andre aktuelle aktører.</w:t>
      </w:r>
    </w:p>
    <w:p w:rsidR="00C5657D" w:rsidRPr="00C5657D" w:rsidRDefault="00C5657D" w:rsidP="00C5657D">
      <w:pPr>
        <w:spacing w:before="300" w:after="150" w:line="240" w:lineRule="auto"/>
        <w:outlineLvl w:val="2"/>
        <w:rPr>
          <w:rFonts w:ascii="inherit" w:eastAsia="Times New Roman" w:hAnsi="inherit" w:cs="Calibri"/>
          <w:color w:val="222222"/>
          <w:sz w:val="36"/>
          <w:szCs w:val="36"/>
          <w:lang w:eastAsia="nb-NO"/>
        </w:rPr>
      </w:pPr>
      <w:r w:rsidRPr="00C5657D">
        <w:rPr>
          <w:rFonts w:ascii="inherit" w:eastAsia="Times New Roman" w:hAnsi="inherit" w:cs="Calibri"/>
          <w:color w:val="222222"/>
          <w:sz w:val="36"/>
          <w:szCs w:val="36"/>
          <w:lang w:eastAsia="nb-NO"/>
        </w:rPr>
        <w:t>Mål for pakkeforløpene</w:t>
      </w:r>
    </w:p>
    <w:p w:rsidR="00C5657D" w:rsidRPr="00C5657D" w:rsidRDefault="00C5657D" w:rsidP="00C5657D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Calibri" w:eastAsia="Times New Roman" w:hAnsi="Calibri" w:cs="Calibri"/>
          <w:color w:val="222222"/>
          <w:sz w:val="24"/>
          <w:szCs w:val="24"/>
          <w:lang w:eastAsia="nb-NO"/>
        </w:rPr>
      </w:pPr>
      <w:r w:rsidRPr="00C5657D"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>Økt brukermedvirkning og brukertilfredshet</w:t>
      </w:r>
    </w:p>
    <w:p w:rsidR="00C5657D" w:rsidRPr="00C5657D" w:rsidRDefault="00C5657D" w:rsidP="00C5657D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Calibri" w:eastAsia="Times New Roman" w:hAnsi="Calibri" w:cs="Calibri"/>
          <w:color w:val="222222"/>
          <w:sz w:val="24"/>
          <w:szCs w:val="24"/>
          <w:lang w:eastAsia="nb-NO"/>
        </w:rPr>
      </w:pPr>
      <w:r w:rsidRPr="00C5657D"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>Sammenhengende og koordinerte pasientforløp</w:t>
      </w:r>
    </w:p>
    <w:p w:rsidR="00C5657D" w:rsidRPr="00C5657D" w:rsidRDefault="00C5657D" w:rsidP="00C5657D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Calibri" w:eastAsia="Times New Roman" w:hAnsi="Calibri" w:cs="Calibri"/>
          <w:color w:val="222222"/>
          <w:sz w:val="24"/>
          <w:szCs w:val="24"/>
          <w:lang w:eastAsia="nb-NO"/>
        </w:rPr>
      </w:pPr>
      <w:r w:rsidRPr="00C5657D"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 xml:space="preserve">Unngå unødig ventetid for utredning, behandling og oppfølging </w:t>
      </w:r>
    </w:p>
    <w:p w:rsidR="00C5657D" w:rsidRPr="00C5657D" w:rsidRDefault="00C5657D" w:rsidP="00C5657D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Calibri" w:eastAsia="Times New Roman" w:hAnsi="Calibri" w:cs="Calibri"/>
          <w:color w:val="222222"/>
          <w:sz w:val="24"/>
          <w:szCs w:val="24"/>
          <w:lang w:eastAsia="nb-NO"/>
        </w:rPr>
      </w:pPr>
      <w:r w:rsidRPr="00C5657D"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>Likeverdig tilbud til pasienter og pårørende uavhengig av hvor i landet de bor</w:t>
      </w:r>
    </w:p>
    <w:p w:rsidR="00C5657D" w:rsidRPr="00C5657D" w:rsidRDefault="00C5657D" w:rsidP="00C5657D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Calibri" w:eastAsia="Times New Roman" w:hAnsi="Calibri" w:cs="Calibri"/>
          <w:color w:val="222222"/>
          <w:sz w:val="24"/>
          <w:szCs w:val="24"/>
          <w:lang w:eastAsia="nb-NO"/>
        </w:rPr>
      </w:pPr>
      <w:r w:rsidRPr="00C5657D"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>Bedre ivaretakelse av somatisk helse og gode levevaner</w:t>
      </w:r>
    </w:p>
    <w:p w:rsidR="00C5657D" w:rsidRPr="00C5657D" w:rsidRDefault="00C5657D" w:rsidP="00C5657D">
      <w:pPr>
        <w:spacing w:after="15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nb-NO"/>
        </w:rPr>
      </w:pPr>
      <w:r w:rsidRPr="00C5657D"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 xml:space="preserve">Pakkeforløp skal bidra til økt fokus på pasientens ressurser, bedre samhandling og likeverdig behandling. </w:t>
      </w:r>
    </w:p>
    <w:p w:rsidR="00C5657D" w:rsidRPr="00C5657D" w:rsidRDefault="00C5657D" w:rsidP="00C5657D">
      <w:pPr>
        <w:spacing w:after="15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nb-NO"/>
        </w:rPr>
      </w:pPr>
      <w:r w:rsidRPr="00C5657D"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 xml:space="preserve">Pakkeforløp innebærer å etablere nasjonale, normgivende forløp for utredning og behandling. Forløpene skal bygge på nasjonale og internasjonale faglige retningslinjer og veiledere der disse finnes, alternativt på best tilgjengelig kunnskap og faglig konsensus. </w:t>
      </w:r>
    </w:p>
    <w:p w:rsidR="00C5657D" w:rsidRPr="00C5657D" w:rsidRDefault="00C5657D" w:rsidP="00C5657D">
      <w:pPr>
        <w:spacing w:after="15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nb-NO"/>
        </w:rPr>
      </w:pPr>
      <w:r w:rsidRPr="00C5657D"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>Helsedirektoratet har opprettet tverrfaglige arbeidsgrupper som utarbeider utkast til pakkeforløpene.</w:t>
      </w:r>
    </w:p>
    <w:p w:rsidR="00C5657D" w:rsidRPr="00C5657D" w:rsidRDefault="00C5657D" w:rsidP="00C5657D">
      <w:pPr>
        <w:spacing w:before="300" w:after="150" w:line="240" w:lineRule="auto"/>
        <w:outlineLvl w:val="2"/>
        <w:rPr>
          <w:rFonts w:ascii="inherit" w:eastAsia="Times New Roman" w:hAnsi="inherit" w:cs="Calibri"/>
          <w:color w:val="222222"/>
          <w:sz w:val="36"/>
          <w:szCs w:val="36"/>
          <w:lang w:eastAsia="nb-NO"/>
        </w:rPr>
      </w:pPr>
      <w:r w:rsidRPr="00C5657D">
        <w:rPr>
          <w:rFonts w:ascii="inherit" w:eastAsia="Times New Roman" w:hAnsi="inherit" w:cs="Calibri"/>
          <w:color w:val="222222"/>
          <w:sz w:val="36"/>
          <w:szCs w:val="36"/>
          <w:lang w:eastAsia="nb-NO"/>
        </w:rPr>
        <w:t>Høring og implementering av pakkeforløpene</w:t>
      </w:r>
    </w:p>
    <w:p w:rsidR="00C5657D" w:rsidRPr="00C5657D" w:rsidRDefault="00C5657D" w:rsidP="00C5657D">
      <w:pPr>
        <w:spacing w:after="15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nb-NO"/>
        </w:rPr>
      </w:pPr>
      <w:r w:rsidRPr="00C5657D"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 xml:space="preserve">Pakkeforløpene sendes ut for implementering september 2018. </w:t>
      </w:r>
    </w:p>
    <w:p w:rsidR="00C5657D" w:rsidRPr="00C5657D" w:rsidRDefault="00C5657D" w:rsidP="00C5657D">
      <w:pPr>
        <w:spacing w:after="15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nb-NO"/>
        </w:rPr>
      </w:pPr>
      <w:r w:rsidRPr="00C5657D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nb-NO"/>
        </w:rPr>
        <w:t xml:space="preserve">De tre første pakkeforløpene var på høring frem til 1. oktober: </w:t>
      </w:r>
    </w:p>
    <w:p w:rsidR="00C5657D" w:rsidRPr="00C5657D" w:rsidRDefault="00C5657D" w:rsidP="00C5657D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Calibri" w:eastAsia="Times New Roman" w:hAnsi="Calibri" w:cs="Calibri"/>
          <w:color w:val="222222"/>
          <w:sz w:val="24"/>
          <w:szCs w:val="24"/>
          <w:lang w:eastAsia="nb-NO"/>
        </w:rPr>
      </w:pPr>
      <w:r w:rsidRPr="00C5657D"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>Pakkeforløp for tverrfaglig spesialisert rusbehandling (TSB)</w:t>
      </w:r>
    </w:p>
    <w:p w:rsidR="00C5657D" w:rsidRPr="00C5657D" w:rsidRDefault="00C5657D" w:rsidP="00C5657D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Calibri" w:eastAsia="Times New Roman" w:hAnsi="Calibri" w:cs="Calibri"/>
          <w:color w:val="222222"/>
          <w:sz w:val="24"/>
          <w:szCs w:val="24"/>
          <w:lang w:eastAsia="nb-NO"/>
        </w:rPr>
      </w:pPr>
      <w:r w:rsidRPr="00C5657D"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>Pakkeforløp for utredning av psykiske lidelser, voksne</w:t>
      </w:r>
    </w:p>
    <w:p w:rsidR="00C5657D" w:rsidRPr="00C5657D" w:rsidRDefault="00C5657D" w:rsidP="00C5657D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Calibri" w:eastAsia="Times New Roman" w:hAnsi="Calibri" w:cs="Calibri"/>
          <w:color w:val="222222"/>
          <w:sz w:val="24"/>
          <w:szCs w:val="24"/>
          <w:lang w:eastAsia="nb-NO"/>
        </w:rPr>
      </w:pPr>
      <w:r w:rsidRPr="00C5657D"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>Pakkeforløp for utredning av psykiske lidelser, barn og unge</w:t>
      </w:r>
    </w:p>
    <w:p w:rsidR="00C5657D" w:rsidRPr="00C5657D" w:rsidRDefault="00C5657D" w:rsidP="00C5657D">
      <w:pPr>
        <w:spacing w:after="15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nb-NO"/>
        </w:rPr>
      </w:pPr>
      <w:r w:rsidRPr="00C5657D"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 xml:space="preserve">I tillegg var enkelte områder innen somatisk helse og levevaner på høring samtidig. </w:t>
      </w:r>
    </w:p>
    <w:p w:rsidR="00C5657D" w:rsidRPr="00C5657D" w:rsidRDefault="00C5657D" w:rsidP="00C5657D">
      <w:pPr>
        <w:spacing w:after="15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nb-NO"/>
        </w:rPr>
      </w:pPr>
      <w:r w:rsidRPr="00C5657D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nb-NO"/>
        </w:rPr>
        <w:t>De neste fem pakkeforløpene sendes nå ut på høring, sammen med flere anbefalinger om hvordan somatisk helse og levevaner kan ivaretas (ikke et eget pakkeforløp):</w:t>
      </w:r>
    </w:p>
    <w:p w:rsidR="00C5657D" w:rsidRPr="00C5657D" w:rsidRDefault="00C5657D" w:rsidP="00C5657D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Calibri" w:eastAsia="Times New Roman" w:hAnsi="Calibri" w:cs="Calibri"/>
          <w:color w:val="222222"/>
          <w:sz w:val="24"/>
          <w:szCs w:val="24"/>
          <w:lang w:eastAsia="nb-NO"/>
        </w:rPr>
      </w:pPr>
      <w:r w:rsidRPr="00C5657D"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>Pakkeforløp for behandling i psykisk helsevern, voksne</w:t>
      </w:r>
    </w:p>
    <w:p w:rsidR="00C5657D" w:rsidRPr="00C5657D" w:rsidRDefault="00C5657D" w:rsidP="00C5657D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Calibri" w:eastAsia="Times New Roman" w:hAnsi="Calibri" w:cs="Calibri"/>
          <w:color w:val="222222"/>
          <w:sz w:val="24"/>
          <w:szCs w:val="24"/>
          <w:lang w:eastAsia="nb-NO"/>
        </w:rPr>
      </w:pPr>
      <w:r w:rsidRPr="00C5657D"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>Pakkeforløp for behandling i psykisk helsevern, barn og unge</w:t>
      </w:r>
    </w:p>
    <w:p w:rsidR="00C5657D" w:rsidRPr="00C5657D" w:rsidRDefault="00C5657D" w:rsidP="00C5657D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Calibri" w:eastAsia="Times New Roman" w:hAnsi="Calibri" w:cs="Calibri"/>
          <w:color w:val="222222"/>
          <w:sz w:val="24"/>
          <w:szCs w:val="24"/>
          <w:lang w:eastAsia="nb-NO"/>
        </w:rPr>
      </w:pPr>
      <w:r w:rsidRPr="00C5657D"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>Pakkeforløp for psykoselidelser, inkludert debuterende psykose</w:t>
      </w:r>
    </w:p>
    <w:p w:rsidR="00C5657D" w:rsidRPr="00C5657D" w:rsidRDefault="00C5657D" w:rsidP="00C5657D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Calibri" w:eastAsia="Times New Roman" w:hAnsi="Calibri" w:cs="Calibri"/>
          <w:color w:val="222222"/>
          <w:sz w:val="24"/>
          <w:szCs w:val="24"/>
          <w:lang w:eastAsia="nb-NO"/>
        </w:rPr>
      </w:pPr>
      <w:r w:rsidRPr="00C5657D"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>Pakkeforløp for spiseforstyrrelser, barn og unge</w:t>
      </w:r>
    </w:p>
    <w:p w:rsidR="00C5657D" w:rsidRPr="00C5657D" w:rsidRDefault="00C5657D" w:rsidP="00C5657D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Calibri" w:eastAsia="Times New Roman" w:hAnsi="Calibri" w:cs="Calibri"/>
          <w:color w:val="222222"/>
          <w:sz w:val="24"/>
          <w:szCs w:val="24"/>
          <w:lang w:eastAsia="nb-NO"/>
        </w:rPr>
      </w:pPr>
      <w:r w:rsidRPr="00C5657D"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>Pakkeforløp for tvangslidelser</w:t>
      </w:r>
    </w:p>
    <w:p w:rsidR="00C5657D" w:rsidRPr="00C5657D" w:rsidRDefault="00C5657D" w:rsidP="00C5657D">
      <w:pPr>
        <w:spacing w:after="15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nb-NO"/>
        </w:rPr>
      </w:pPr>
      <w:r w:rsidRPr="00C5657D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nb-NO"/>
        </w:rPr>
        <w:t>Ytterligere ett pakkeforløp sendes på høring vinter 2018:</w:t>
      </w:r>
    </w:p>
    <w:p w:rsidR="00C5657D" w:rsidRPr="00C5657D" w:rsidRDefault="00C5657D" w:rsidP="00C5657D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="Calibri" w:eastAsia="Times New Roman" w:hAnsi="Calibri" w:cs="Calibri"/>
          <w:color w:val="222222"/>
          <w:sz w:val="24"/>
          <w:szCs w:val="24"/>
          <w:lang w:eastAsia="nb-NO"/>
        </w:rPr>
      </w:pPr>
      <w:r w:rsidRPr="00C5657D"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lastRenderedPageBreak/>
        <w:t>Pakkeforløp for gravide som bruker/har brukt alkohol, vanedannende legemidler og/eller illegale rusmidler</w:t>
      </w:r>
    </w:p>
    <w:p w:rsidR="007B1E23" w:rsidRPr="00B33A49" w:rsidRDefault="00C5657D" w:rsidP="00B33A49">
      <w:pPr>
        <w:spacing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7B1E23" w:rsidRPr="00B33A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E2346"/>
    <w:multiLevelType w:val="multilevel"/>
    <w:tmpl w:val="EE34C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214FAA"/>
    <w:multiLevelType w:val="multilevel"/>
    <w:tmpl w:val="0852A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5417AD"/>
    <w:multiLevelType w:val="multilevel"/>
    <w:tmpl w:val="EC4CC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711991"/>
    <w:multiLevelType w:val="multilevel"/>
    <w:tmpl w:val="28A21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57D"/>
    <w:rsid w:val="002F10A1"/>
    <w:rsid w:val="00B33A49"/>
    <w:rsid w:val="00C5657D"/>
    <w:rsid w:val="00E6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C5657D"/>
    <w:pPr>
      <w:spacing w:before="300" w:after="150" w:line="240" w:lineRule="auto"/>
      <w:outlineLvl w:val="1"/>
    </w:pPr>
    <w:rPr>
      <w:rFonts w:ascii="inherit" w:eastAsia="Times New Roman" w:hAnsi="inherit" w:cs="Times New Roman"/>
      <w:sz w:val="45"/>
      <w:szCs w:val="45"/>
      <w:lang w:eastAsia="nb-NO"/>
    </w:rPr>
  </w:style>
  <w:style w:type="paragraph" w:styleId="Overskrift3">
    <w:name w:val="heading 3"/>
    <w:basedOn w:val="Normal"/>
    <w:link w:val="Overskrift3Tegn"/>
    <w:uiPriority w:val="9"/>
    <w:qFormat/>
    <w:rsid w:val="00C5657D"/>
    <w:pPr>
      <w:spacing w:before="300" w:after="150" w:line="240" w:lineRule="auto"/>
      <w:outlineLvl w:val="2"/>
    </w:pPr>
    <w:rPr>
      <w:rFonts w:ascii="inherit" w:eastAsia="Times New Roman" w:hAnsi="inherit" w:cs="Times New Roman"/>
      <w:sz w:val="36"/>
      <w:szCs w:val="36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C5657D"/>
    <w:rPr>
      <w:rFonts w:ascii="inherit" w:eastAsia="Times New Roman" w:hAnsi="inherit" w:cs="Times New Roman"/>
      <w:sz w:val="45"/>
      <w:szCs w:val="45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C5657D"/>
    <w:rPr>
      <w:rFonts w:ascii="inherit" w:eastAsia="Times New Roman" w:hAnsi="inherit" w:cs="Times New Roman"/>
      <w:sz w:val="36"/>
      <w:szCs w:val="36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C5657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C5657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C5657D"/>
    <w:pPr>
      <w:spacing w:before="300" w:after="150" w:line="240" w:lineRule="auto"/>
      <w:outlineLvl w:val="1"/>
    </w:pPr>
    <w:rPr>
      <w:rFonts w:ascii="inherit" w:eastAsia="Times New Roman" w:hAnsi="inherit" w:cs="Times New Roman"/>
      <w:sz w:val="45"/>
      <w:szCs w:val="45"/>
      <w:lang w:eastAsia="nb-NO"/>
    </w:rPr>
  </w:style>
  <w:style w:type="paragraph" w:styleId="Overskrift3">
    <w:name w:val="heading 3"/>
    <w:basedOn w:val="Normal"/>
    <w:link w:val="Overskrift3Tegn"/>
    <w:uiPriority w:val="9"/>
    <w:qFormat/>
    <w:rsid w:val="00C5657D"/>
    <w:pPr>
      <w:spacing w:before="300" w:after="150" w:line="240" w:lineRule="auto"/>
      <w:outlineLvl w:val="2"/>
    </w:pPr>
    <w:rPr>
      <w:rFonts w:ascii="inherit" w:eastAsia="Times New Roman" w:hAnsi="inherit" w:cs="Times New Roman"/>
      <w:sz w:val="36"/>
      <w:szCs w:val="36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C5657D"/>
    <w:rPr>
      <w:rFonts w:ascii="inherit" w:eastAsia="Times New Roman" w:hAnsi="inherit" w:cs="Times New Roman"/>
      <w:sz w:val="45"/>
      <w:szCs w:val="45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C5657D"/>
    <w:rPr>
      <w:rFonts w:ascii="inherit" w:eastAsia="Times New Roman" w:hAnsi="inherit" w:cs="Times New Roman"/>
      <w:sz w:val="36"/>
      <w:szCs w:val="36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C5657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C565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0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42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0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93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02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147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67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760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58626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378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805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8936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4837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9423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CCCCCC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99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Den norske legeforening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Ingvild Bjørgo Berg</dc:creator>
  <cp:lastModifiedBy>Ingvild Bjørgo Berg</cp:lastModifiedBy>
  <cp:revision>1</cp:revision>
  <dcterms:created xsi:type="dcterms:W3CDTF">2017-12-19T11:07:00Z</dcterms:created>
  <dcterms:modified xsi:type="dcterms:W3CDTF">2017-12-19T11:07:00Z</dcterms:modified>
</cp:coreProperties>
</file>