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3469F0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9F0" w:rsidRDefault="003469F0" w:rsidP="003469F0">
      <w:pPr>
        <w:rPr>
          <w:szCs w:val="24"/>
        </w:rPr>
      </w:pPr>
      <w:r>
        <w:rPr>
          <w:szCs w:val="24"/>
        </w:rPr>
        <w:t>Alle yrkesforeninger</w:t>
      </w:r>
    </w:p>
    <w:p w:rsidR="003469F0" w:rsidRDefault="003469F0" w:rsidP="003469F0">
      <w:pPr>
        <w:rPr>
          <w:szCs w:val="24"/>
        </w:rPr>
      </w:pPr>
      <w:r>
        <w:rPr>
          <w:szCs w:val="24"/>
        </w:rPr>
        <w:t>Alle fagmedisinske foreninger</w:t>
      </w:r>
    </w:p>
    <w:p w:rsidR="003469F0" w:rsidRDefault="003469F0" w:rsidP="003469F0">
      <w:pPr>
        <w:rPr>
          <w:szCs w:val="24"/>
        </w:rPr>
      </w:pPr>
      <w:r>
        <w:rPr>
          <w:szCs w:val="24"/>
        </w:rPr>
        <w:t>IT-utvalget</w:t>
      </w:r>
    </w:p>
    <w:p w:rsidR="00515A8F" w:rsidRPr="00F97002" w:rsidRDefault="00515A8F">
      <w:pPr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0" w:name="bkmDeres"/>
      <w:bookmarkEnd w:id="0"/>
      <w:r w:rsidRPr="00F97002">
        <w:rPr>
          <w:szCs w:val="24"/>
        </w:rPr>
        <w:tab/>
        <w:t>Vår ref.</w:t>
      </w:r>
      <w:proofErr w:type="gramStart"/>
      <w:r w:rsidRPr="00F97002">
        <w:rPr>
          <w:szCs w:val="24"/>
        </w:rPr>
        <w:t xml:space="preserve">: </w:t>
      </w:r>
      <w:bookmarkStart w:id="1" w:name="bkmVår"/>
      <w:bookmarkEnd w:id="1"/>
      <w:r w:rsidR="0007726E">
        <w:rPr>
          <w:szCs w:val="24"/>
        </w:rPr>
        <w:t xml:space="preserve"> 18</w:t>
      </w:r>
      <w:proofErr w:type="gramEnd"/>
      <w:r w:rsidR="0007726E">
        <w:rPr>
          <w:szCs w:val="24"/>
        </w:rPr>
        <w:t>/2431</w:t>
      </w:r>
      <w:r w:rsidRPr="00F97002">
        <w:rPr>
          <w:szCs w:val="24"/>
        </w:rPr>
        <w:tab/>
        <w:t xml:space="preserve">Dato: </w:t>
      </w:r>
      <w:bookmarkStart w:id="2" w:name="bkmDato"/>
      <w:bookmarkEnd w:id="2"/>
      <w:r w:rsidR="003469F0">
        <w:rPr>
          <w:szCs w:val="24"/>
        </w:rPr>
        <w:t>26.4.2018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3469F0" w:rsidRPr="0007726E" w:rsidRDefault="003469F0" w:rsidP="003469F0">
      <w:pPr>
        <w:rPr>
          <w:b/>
          <w:bCs/>
          <w:sz w:val="28"/>
          <w:szCs w:val="28"/>
        </w:rPr>
      </w:pPr>
      <w:r w:rsidRPr="0007726E">
        <w:rPr>
          <w:b/>
          <w:bCs/>
          <w:color w:val="000000"/>
          <w:sz w:val="28"/>
          <w:szCs w:val="28"/>
        </w:rPr>
        <w:t>Høring av forslag til ny forskrift om pasientjournal</w:t>
      </w:r>
    </w:p>
    <w:p w:rsidR="00515A8F" w:rsidRPr="001E6608" w:rsidRDefault="00515A8F">
      <w:pPr>
        <w:rPr>
          <w:szCs w:val="24"/>
        </w:rPr>
      </w:pPr>
    </w:p>
    <w:p w:rsidR="00515A8F" w:rsidRDefault="00EC2322">
      <w:pPr>
        <w:rPr>
          <w:color w:val="000000"/>
          <w:szCs w:val="24"/>
        </w:rPr>
      </w:pPr>
      <w:bookmarkStart w:id="3" w:name="_GoBack"/>
      <w:r w:rsidRPr="001E6608">
        <w:rPr>
          <w:color w:val="000000"/>
          <w:szCs w:val="24"/>
        </w:rPr>
        <w:t xml:space="preserve">Helse- og omsorgsdepartementet sender på høring forslag til ny forskrift om pasientjournal (pasientjournalforskriften). </w:t>
      </w:r>
      <w:proofErr w:type="spellStart"/>
      <w:r w:rsidRPr="001E6608">
        <w:rPr>
          <w:color w:val="000000"/>
          <w:szCs w:val="24"/>
        </w:rPr>
        <w:t>Forskriften</w:t>
      </w:r>
      <w:proofErr w:type="spellEnd"/>
      <w:r w:rsidRPr="001E6608">
        <w:rPr>
          <w:color w:val="000000"/>
          <w:szCs w:val="24"/>
        </w:rPr>
        <w:t xml:space="preserve"> skal erstatte dagens forskrift 21. desember 2000 nr. 1385 om pasientjournal og forskrift 17. desember 2014 nr. 1757 om tilgang til helseopplysninger mellom virksomheter. Bestemmelsene om tilgang til helseopplysninger internt i en virksomhet og mellom virksomheter er harmonisert. </w:t>
      </w:r>
    </w:p>
    <w:p w:rsidR="006D76F5" w:rsidRDefault="006D76F5" w:rsidP="006D76F5">
      <w:pPr>
        <w:rPr>
          <w:rStyle w:val="fontstyle01"/>
        </w:rPr>
      </w:pPr>
    </w:p>
    <w:p w:rsidR="006D76F5" w:rsidRDefault="006D76F5" w:rsidP="006D76F5">
      <w:pPr>
        <w:rPr>
          <w:rStyle w:val="fontstyle01"/>
        </w:rPr>
      </w:pPr>
      <w:r>
        <w:rPr>
          <w:rStyle w:val="fontstyle01"/>
        </w:rPr>
        <w:t>Grunntanken bak endringsforslaget er den samme som i målbildet som er beskrevet 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Meld. St. 9 (2012-2013) "Én innbygger - én journal". Helsepersonell skal ha rask og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effektiv tilgang til nødvendige og oppdaterte pasientopplysninger, samtidig som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personvernet ivaretas. Dette gjelder gjennom hele behandlingsforløpet uavhengig av hvor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 landet pasienten blir syk eller får behandling. For å sikre best mulig helsehjelp til hver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enkelt er det avgjørende at relevante og nødvendige helseopplysninger er korrekt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nedtegnet i pasientens journal. Alle som yter helsehjelp har plikt til å føre journal.</w:t>
      </w:r>
    </w:p>
    <w:p w:rsidR="009D0074" w:rsidRDefault="00997DB2" w:rsidP="00997DB2">
      <w:pPr>
        <w:tabs>
          <w:tab w:val="left" w:pos="1185"/>
        </w:tabs>
        <w:rPr>
          <w:b/>
          <w:szCs w:val="24"/>
        </w:rPr>
      </w:pPr>
      <w:r>
        <w:rPr>
          <w:b/>
          <w:szCs w:val="24"/>
        </w:rPr>
        <w:tab/>
      </w:r>
    </w:p>
    <w:p w:rsidR="009D0074" w:rsidRPr="009D0074" w:rsidRDefault="009D0074" w:rsidP="009D0074">
      <w:pPr>
        <w:tabs>
          <w:tab w:val="left" w:pos="6240"/>
        </w:tabs>
        <w:rPr>
          <w:szCs w:val="24"/>
          <w:u w:val="single"/>
        </w:rPr>
      </w:pPr>
      <w:proofErr w:type="spellStart"/>
      <w:r w:rsidRPr="009D0074">
        <w:rPr>
          <w:szCs w:val="24"/>
          <w:u w:val="single"/>
        </w:rPr>
        <w:t>Forskriftutkastet</w:t>
      </w:r>
      <w:proofErr w:type="spellEnd"/>
      <w:r w:rsidRPr="009D0074">
        <w:rPr>
          <w:szCs w:val="24"/>
          <w:u w:val="single"/>
        </w:rPr>
        <w:t xml:space="preserve"> har regler om:</w:t>
      </w:r>
    </w:p>
    <w:p w:rsid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Formål og virkeområde</w:t>
      </w:r>
    </w:p>
    <w:p w:rsid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Journalens innhold</w:t>
      </w:r>
    </w:p>
    <w:p w:rsid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Pasienthensyn</w:t>
      </w:r>
    </w:p>
    <w:p w:rsid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Dataansvar</w:t>
      </w:r>
    </w:p>
    <w:p w:rsid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Krav om system for autorisasjon og autentisering</w:t>
      </w:r>
    </w:p>
    <w:p w:rsid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Opphør av virksomhet</w:t>
      </w:r>
    </w:p>
    <w:p w:rsid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Retting og sletting av opplysninger</w:t>
      </w:r>
    </w:p>
    <w:p w:rsid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Tilintetgjøring ved digitalisering av fysiske dokumenter</w:t>
      </w:r>
    </w:p>
    <w:p w:rsidR="009D0074" w:rsidRPr="009D0074" w:rsidRDefault="009D0074" w:rsidP="009D0074">
      <w:pPr>
        <w:pStyle w:val="Listeavsnitt"/>
        <w:numPr>
          <w:ilvl w:val="0"/>
          <w:numId w:val="2"/>
        </w:numPr>
        <w:tabs>
          <w:tab w:val="left" w:pos="6240"/>
        </w:tabs>
        <w:rPr>
          <w:szCs w:val="24"/>
        </w:rPr>
      </w:pPr>
      <w:r>
        <w:rPr>
          <w:szCs w:val="24"/>
        </w:rPr>
        <w:t>Virksomhetens dokumentasjonsplikt og kontroll ved tilgjengeliggjøring av helseopplysninger</w:t>
      </w:r>
    </w:p>
    <w:p w:rsidR="006D76F5" w:rsidRDefault="006D76F5" w:rsidP="006D76F5">
      <w:pPr>
        <w:rPr>
          <w:rStyle w:val="fontstyle01"/>
        </w:rPr>
      </w:pPr>
    </w:p>
    <w:p w:rsidR="006D76F5" w:rsidRDefault="006D76F5" w:rsidP="006D76F5">
      <w:pPr>
        <w:rPr>
          <w:szCs w:val="24"/>
        </w:rPr>
      </w:pPr>
      <w:r>
        <w:rPr>
          <w:rStyle w:val="fontstyle01"/>
        </w:rPr>
        <w:t>Forskriftsforslaget regulerer innholdet i og behandling av opplysninger i journalen og ikke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teknologiske egenskaper og forutsetninger som må være til stede for å nå </w:t>
      </w:r>
      <w:proofErr w:type="spellStart"/>
      <w:r>
        <w:rPr>
          <w:rStyle w:val="fontstyle01"/>
        </w:rPr>
        <w:t>forskriftens</w:t>
      </w:r>
      <w:proofErr w:type="spellEnd"/>
      <w:r>
        <w:rPr>
          <w:rStyle w:val="fontstyle01"/>
        </w:rPr>
        <w:t xml:space="preserve"> mål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og krav. </w:t>
      </w:r>
      <w:proofErr w:type="spellStart"/>
      <w:r>
        <w:rPr>
          <w:rStyle w:val="fontstyle01"/>
        </w:rPr>
        <w:t>Forskriften</w:t>
      </w:r>
      <w:proofErr w:type="spellEnd"/>
      <w:r>
        <w:rPr>
          <w:rStyle w:val="fontstyle01"/>
        </w:rPr>
        <w:t xml:space="preserve"> fastsetter for eksempel ikke særskilte krav til teknisk standardisering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og strukturering av informasjon, krav til arkitektur for felles grensesnitt for ulike systemer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eller krav til felles kodeverk for informasjonsklasser. Departementet vil komme tilbake til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dette i tilknytning til arbeidet med å vurdere virkemidler for styring og samordning på e-helseområdet</w:t>
      </w:r>
      <w:r w:rsidR="004D0576">
        <w:rPr>
          <w:rStyle w:val="fontstyle01"/>
        </w:rPr>
        <w:t>.</w:t>
      </w:r>
    </w:p>
    <w:p w:rsidR="006D76F5" w:rsidRDefault="006D76F5" w:rsidP="006D76F5">
      <w:pPr>
        <w:tabs>
          <w:tab w:val="left" w:pos="6240"/>
        </w:tabs>
        <w:rPr>
          <w:rStyle w:val="fontstyle01"/>
        </w:rPr>
      </w:pPr>
    </w:p>
    <w:p w:rsidR="006D76F5" w:rsidRDefault="006D76F5" w:rsidP="006D76F5">
      <w:pPr>
        <w:tabs>
          <w:tab w:val="left" w:pos="6240"/>
        </w:tabs>
        <w:rPr>
          <w:rStyle w:val="fontstyle01"/>
        </w:rPr>
      </w:pPr>
      <w:r>
        <w:rPr>
          <w:rStyle w:val="fontstyle01"/>
        </w:rPr>
        <w:t xml:space="preserve">Virksomhetenes plikter etter </w:t>
      </w:r>
      <w:proofErr w:type="spellStart"/>
      <w:r>
        <w:rPr>
          <w:rStyle w:val="fontstyle01"/>
        </w:rPr>
        <w:t>forskriften</w:t>
      </w:r>
      <w:proofErr w:type="spellEnd"/>
      <w:r>
        <w:rPr>
          <w:rStyle w:val="fontstyle01"/>
        </w:rPr>
        <w:t xml:space="preserve"> er for øvrig en presisering av dagens plikter og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innebærer ingen vesentlige utvidelser av ansvar. Det samme gjelder helsepersonells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oppgaver og ansvar. Departementet legger til grunn at vedtagelse av den nye </w:t>
      </w:r>
      <w:proofErr w:type="spellStart"/>
      <w:r>
        <w:rPr>
          <w:rStyle w:val="fontstyle01"/>
        </w:rPr>
        <w:t>forskriften</w:t>
      </w:r>
      <w:proofErr w:type="spellEnd"/>
      <w:r>
        <w:rPr>
          <w:rStyle w:val="fontstyle01"/>
        </w:rPr>
        <w:t xml:space="preserve"> ikke vil medføre vesentlige administrative eller økonomiske kostnader.</w:t>
      </w:r>
    </w:p>
    <w:p w:rsidR="006D76F5" w:rsidRDefault="006D76F5">
      <w:pPr>
        <w:rPr>
          <w:color w:val="000000"/>
          <w:szCs w:val="24"/>
        </w:rPr>
      </w:pPr>
    </w:p>
    <w:p w:rsidR="008F39F3" w:rsidRDefault="008F39F3">
      <w:pPr>
        <w:rPr>
          <w:color w:val="000000"/>
          <w:szCs w:val="24"/>
        </w:rPr>
      </w:pPr>
    </w:p>
    <w:p w:rsidR="008F39F3" w:rsidRDefault="008F39F3">
      <w:pPr>
        <w:rPr>
          <w:color w:val="000000"/>
          <w:szCs w:val="24"/>
        </w:rPr>
      </w:pPr>
    </w:p>
    <w:p w:rsidR="006D76F5" w:rsidRPr="009D0074" w:rsidRDefault="006D76F5">
      <w:pPr>
        <w:rPr>
          <w:b/>
          <w:color w:val="000000"/>
          <w:szCs w:val="24"/>
        </w:rPr>
      </w:pPr>
      <w:r w:rsidRPr="009D0074">
        <w:rPr>
          <w:b/>
          <w:color w:val="000000"/>
          <w:szCs w:val="24"/>
        </w:rPr>
        <w:lastRenderedPageBreak/>
        <w:t xml:space="preserve">Departementet </w:t>
      </w:r>
      <w:r w:rsidR="005C07DC">
        <w:rPr>
          <w:b/>
          <w:color w:val="000000"/>
          <w:szCs w:val="24"/>
        </w:rPr>
        <w:t>foreslår</w:t>
      </w:r>
      <w:r w:rsidR="003011EE">
        <w:rPr>
          <w:b/>
          <w:color w:val="000000"/>
          <w:szCs w:val="24"/>
        </w:rPr>
        <w:t xml:space="preserve"> blant annet</w:t>
      </w:r>
      <w:r w:rsidRPr="009D0074">
        <w:rPr>
          <w:b/>
          <w:color w:val="000000"/>
          <w:szCs w:val="24"/>
        </w:rPr>
        <w:t xml:space="preserve"> følgende </w:t>
      </w:r>
      <w:r w:rsidR="008F39F3">
        <w:rPr>
          <w:b/>
          <w:color w:val="000000"/>
          <w:szCs w:val="24"/>
        </w:rPr>
        <w:t>endrings</w:t>
      </w:r>
      <w:r w:rsidRPr="009D0074">
        <w:rPr>
          <w:b/>
          <w:color w:val="000000"/>
          <w:szCs w:val="24"/>
        </w:rPr>
        <w:t>forslag:</w:t>
      </w:r>
    </w:p>
    <w:p w:rsidR="00A55267" w:rsidRPr="006D76F5" w:rsidRDefault="00140B5C" w:rsidP="006D76F5">
      <w:pPr>
        <w:pStyle w:val="Listeavsnitt"/>
        <w:numPr>
          <w:ilvl w:val="0"/>
          <w:numId w:val="1"/>
        </w:numPr>
        <w:rPr>
          <w:rStyle w:val="fontstyle01"/>
          <w:rFonts w:ascii="Times New Roman" w:hAnsi="Times New Roman"/>
          <w:szCs w:val="20"/>
        </w:rPr>
      </w:pPr>
      <w:r w:rsidRPr="006D76F5">
        <w:rPr>
          <w:color w:val="000000"/>
        </w:rPr>
        <w:t xml:space="preserve">I samsvar med EUs personvernforordning forslås endringer som begrenser adgangen til å ta betalt for utskrift </w:t>
      </w:r>
      <w:r w:rsidR="006D76F5">
        <w:rPr>
          <w:color w:val="000000"/>
        </w:rPr>
        <w:t>eller kopi av pasientjournalen.</w:t>
      </w:r>
      <w:r w:rsidR="006D76F5" w:rsidRPr="006D76F5">
        <w:rPr>
          <w:rStyle w:val="fontstyle01"/>
        </w:rPr>
        <w:t xml:space="preserve"> </w:t>
      </w:r>
      <w:r w:rsidR="006D76F5">
        <w:rPr>
          <w:rStyle w:val="fontstyle01"/>
        </w:rPr>
        <w:t xml:space="preserve">I dag kan det kreves inntil kr. 85 for utskrift eller kopi av pasientjournal. I samsvar med personvernforordningen begrenses </w:t>
      </w:r>
      <w:r w:rsidR="009D0074">
        <w:rPr>
          <w:rStyle w:val="fontstyle01"/>
        </w:rPr>
        <w:t xml:space="preserve">nå denne </w:t>
      </w:r>
      <w:r w:rsidR="006D76F5">
        <w:rPr>
          <w:rStyle w:val="fontstyle01"/>
        </w:rPr>
        <w:t>retten til å ta betaling. Departementet legger til grunn at dette vil innebære noe, men ikke vesentlig, inntektstap for de virksomheter som i dag krever vederlag for innsyn.</w:t>
      </w:r>
    </w:p>
    <w:p w:rsidR="006D76F5" w:rsidRDefault="006D76F5" w:rsidP="006D76F5">
      <w:pPr>
        <w:pStyle w:val="Listeavsnitt"/>
        <w:rPr>
          <w:color w:val="000000"/>
        </w:rPr>
      </w:pPr>
    </w:p>
    <w:p w:rsidR="006D76F5" w:rsidRDefault="006D76F5" w:rsidP="006D76F5">
      <w:pPr>
        <w:pStyle w:val="Listeavsnitt"/>
        <w:numPr>
          <w:ilvl w:val="0"/>
          <w:numId w:val="1"/>
        </w:numPr>
        <w:rPr>
          <w:color w:val="000000"/>
        </w:rPr>
      </w:pPr>
      <w:r w:rsidRPr="00140B5C">
        <w:rPr>
          <w:color w:val="000000"/>
        </w:rPr>
        <w:t xml:space="preserve">Departementet har ved utarbeidelse av </w:t>
      </w:r>
      <w:proofErr w:type="spellStart"/>
      <w:r w:rsidRPr="00140B5C">
        <w:rPr>
          <w:color w:val="000000"/>
        </w:rPr>
        <w:t>forskriften</w:t>
      </w:r>
      <w:proofErr w:type="spellEnd"/>
      <w:r w:rsidRPr="00140B5C">
        <w:rPr>
          <w:color w:val="000000"/>
        </w:rPr>
        <w:t xml:space="preserve"> særskilt vurdert hvordan kravet til journalens innhold best bør presiseres, og har utarbeidet</w:t>
      </w:r>
      <w:r>
        <w:rPr>
          <w:color w:val="000000"/>
        </w:rPr>
        <w:t xml:space="preserve"> et</w:t>
      </w:r>
      <w:r w:rsidRPr="00140B5C">
        <w:rPr>
          <w:color w:val="000000"/>
        </w:rPr>
        <w:t xml:space="preserve"> alternativt forslag til forskriftstekst. Departementet ber om høringsinstansenes vurdering av spørsmålet, se punkt 3.6.4</w:t>
      </w:r>
      <w:r w:rsidR="009D0074">
        <w:rPr>
          <w:color w:val="000000"/>
        </w:rPr>
        <w:t>.</w:t>
      </w:r>
    </w:p>
    <w:p w:rsidR="009D0074" w:rsidRPr="009D0074" w:rsidRDefault="009D0074" w:rsidP="009D0074">
      <w:pPr>
        <w:pStyle w:val="Listeavsnitt"/>
        <w:rPr>
          <w:color w:val="000000"/>
        </w:rPr>
      </w:pPr>
    </w:p>
    <w:p w:rsidR="009D0074" w:rsidRPr="006D76F5" w:rsidRDefault="008F39F3" w:rsidP="006D76F5">
      <w:pPr>
        <w:pStyle w:val="Listeavsnitt"/>
        <w:numPr>
          <w:ilvl w:val="0"/>
          <w:numId w:val="1"/>
        </w:numPr>
        <w:rPr>
          <w:color w:val="000000"/>
        </w:rPr>
      </w:pPr>
      <w:r w:rsidRPr="001E6608">
        <w:rPr>
          <w:color w:val="000000"/>
          <w:szCs w:val="24"/>
        </w:rPr>
        <w:t xml:space="preserve">I motsetning til dagens </w:t>
      </w:r>
      <w:r w:rsidRPr="00140B5C">
        <w:rPr>
          <w:color w:val="000000"/>
          <w:szCs w:val="24"/>
        </w:rPr>
        <w:t xml:space="preserve">pasientjournalforskrift, foreslås </w:t>
      </w:r>
      <w:r>
        <w:rPr>
          <w:color w:val="000000"/>
          <w:szCs w:val="24"/>
        </w:rPr>
        <w:t xml:space="preserve">det </w:t>
      </w:r>
      <w:r w:rsidRPr="00140B5C">
        <w:rPr>
          <w:color w:val="000000"/>
          <w:szCs w:val="24"/>
        </w:rPr>
        <w:t xml:space="preserve">at den nye </w:t>
      </w:r>
      <w:proofErr w:type="spellStart"/>
      <w:r w:rsidRPr="00140B5C">
        <w:rPr>
          <w:color w:val="000000"/>
          <w:szCs w:val="24"/>
        </w:rPr>
        <w:t>forskriften</w:t>
      </w:r>
      <w:proofErr w:type="spellEnd"/>
      <w:r w:rsidRPr="00140B5C">
        <w:rPr>
          <w:color w:val="000000"/>
          <w:szCs w:val="24"/>
        </w:rPr>
        <w:t xml:space="preserve"> også skal gjelde for personell i apotek.</w:t>
      </w:r>
    </w:p>
    <w:p w:rsidR="00EC2322" w:rsidRDefault="00EC2322" w:rsidP="00EC2322">
      <w:pPr>
        <w:rPr>
          <w:szCs w:val="24"/>
        </w:rPr>
      </w:pPr>
    </w:p>
    <w:p w:rsidR="008F39F3" w:rsidRPr="004D0576" w:rsidRDefault="008F39F3" w:rsidP="00EC2322">
      <w:pPr>
        <w:rPr>
          <w:szCs w:val="24"/>
        </w:rPr>
      </w:pPr>
    </w:p>
    <w:p w:rsidR="00826B36" w:rsidRPr="004D0576" w:rsidRDefault="004D0576" w:rsidP="00826B36">
      <w:r w:rsidRPr="004D0576">
        <w:t xml:space="preserve">Det bes </w:t>
      </w:r>
      <w:r w:rsidR="003011EE">
        <w:t xml:space="preserve">i tillegg </w:t>
      </w:r>
      <w:r w:rsidRPr="004D0576">
        <w:t>om at h</w:t>
      </w:r>
      <w:r w:rsidR="00826B36" w:rsidRPr="004D0576">
        <w:t>øringsinstansene se</w:t>
      </w:r>
      <w:r w:rsidRPr="004D0576">
        <w:t>r</w:t>
      </w:r>
      <w:r w:rsidR="00826B36" w:rsidRPr="004D0576">
        <w:t xml:space="preserve"> på hvor</w:t>
      </w:r>
      <w:r w:rsidRPr="004D0576">
        <w:t>dan</w:t>
      </w:r>
      <w:r w:rsidR="00826B36" w:rsidRPr="004D0576">
        <w:t xml:space="preserve"> de foreslåtte endringer vil understøtte informasjonssikkerhet, </w:t>
      </w:r>
      <w:r w:rsidRPr="004D0576">
        <w:t>herunder de tre hovedelementene</w:t>
      </w:r>
      <w:r w:rsidR="00826B36" w:rsidRPr="004D0576">
        <w:t> integritet</w:t>
      </w:r>
      <w:r w:rsidRPr="004D0576">
        <w:t>,</w:t>
      </w:r>
      <w:r w:rsidR="00826B36" w:rsidRPr="004D0576">
        <w:t xml:space="preserve"> tilgjengelighet og personvern, både i nåværende og fremtidige digitale pasientjournalløsninger.</w:t>
      </w:r>
    </w:p>
    <w:bookmarkEnd w:id="3"/>
    <w:p w:rsidR="00A55267" w:rsidRDefault="00A55267" w:rsidP="00A55267">
      <w:pPr>
        <w:tabs>
          <w:tab w:val="left" w:pos="6240"/>
        </w:tabs>
        <w:rPr>
          <w:rStyle w:val="fontstyle01"/>
          <w:color w:val="auto"/>
        </w:rPr>
      </w:pPr>
    </w:p>
    <w:p w:rsidR="008F39F3" w:rsidRPr="004D0576" w:rsidRDefault="008F39F3" w:rsidP="00A55267">
      <w:pPr>
        <w:tabs>
          <w:tab w:val="left" w:pos="6240"/>
        </w:tabs>
        <w:rPr>
          <w:rStyle w:val="fontstyle01"/>
          <w:color w:val="auto"/>
        </w:rPr>
      </w:pPr>
    </w:p>
    <w:p w:rsidR="00EC2322" w:rsidRPr="001E6608" w:rsidRDefault="00EC2322" w:rsidP="00EC2322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1E6608">
        <w:rPr>
          <w:rFonts w:eastAsia="Calibri"/>
          <w:szCs w:val="24"/>
          <w:lang w:eastAsia="en-US"/>
        </w:rPr>
        <w:t>Les me</w:t>
      </w:r>
      <w:r w:rsidRPr="001E6608">
        <w:rPr>
          <w:rFonts w:eastAsia="Calibri"/>
          <w:color w:val="000000"/>
          <w:szCs w:val="24"/>
          <w:lang w:eastAsia="en-US"/>
        </w:rPr>
        <w:t>r om høringen på Helse- og omsorgsdepartementets nettsider:</w:t>
      </w:r>
    </w:p>
    <w:p w:rsidR="00EC2322" w:rsidRPr="001E6608" w:rsidRDefault="00997DB2" w:rsidP="00EC2322">
      <w:pPr>
        <w:autoSpaceDE w:val="0"/>
        <w:autoSpaceDN w:val="0"/>
        <w:adjustRightInd w:val="0"/>
        <w:rPr>
          <w:szCs w:val="24"/>
        </w:rPr>
      </w:pPr>
      <w:hyperlink r:id="rId10" w:history="1">
        <w:r w:rsidR="00EC2322" w:rsidRPr="001E6608">
          <w:rPr>
            <w:rStyle w:val="Hyperkobling"/>
            <w:szCs w:val="24"/>
          </w:rPr>
          <w:t>https://www.regjeringen.no/no/dokumenter/pasientjournal/id2598296/?utm_source=www.regjeringen.no&amp;utm_medium=epost&amp;utm_campaign=nyhetsvarsel%2018.04.2018&amp;utm_content=H%C3%B8yringar</w:t>
        </w:r>
      </w:hyperlink>
    </w:p>
    <w:p w:rsidR="00EC2322" w:rsidRPr="001E6608" w:rsidRDefault="00EC2322" w:rsidP="00EC2322">
      <w:pPr>
        <w:autoSpaceDE w:val="0"/>
        <w:autoSpaceDN w:val="0"/>
        <w:adjustRightInd w:val="0"/>
        <w:rPr>
          <w:szCs w:val="24"/>
        </w:rPr>
      </w:pPr>
      <w:r w:rsidRPr="001E6608">
        <w:rPr>
          <w:szCs w:val="24"/>
        </w:rPr>
        <w:br/>
        <w:t xml:space="preserve">Dersom høringen virker relevant, bes det om at innspill overleveres til Legeforeningen innen </w:t>
      </w:r>
      <w:r w:rsidRPr="001E6608">
        <w:rPr>
          <w:szCs w:val="24"/>
        </w:rPr>
        <w:br/>
      </w:r>
      <w:r w:rsidR="00172583">
        <w:rPr>
          <w:b/>
          <w:szCs w:val="24"/>
        </w:rPr>
        <w:t xml:space="preserve">18. juni </w:t>
      </w:r>
      <w:r w:rsidRPr="001E6608">
        <w:rPr>
          <w:b/>
          <w:szCs w:val="24"/>
        </w:rPr>
        <w:t xml:space="preserve">2018. </w:t>
      </w:r>
      <w:r w:rsidRPr="001E6608">
        <w:rPr>
          <w:szCs w:val="24"/>
        </w:rPr>
        <w:t xml:space="preserve">Det bes om at innspillene lastes opp direkte på Legeforeningens nettsider. </w:t>
      </w:r>
      <w:r w:rsidRPr="001E6608">
        <w:rPr>
          <w:szCs w:val="24"/>
        </w:rPr>
        <w:br/>
        <w:t xml:space="preserve">Høringen finnes på </w:t>
      </w:r>
      <w:r w:rsidRPr="001E6608">
        <w:rPr>
          <w:b/>
          <w:szCs w:val="24"/>
        </w:rPr>
        <w:t xml:space="preserve">Legeforeningen.no </w:t>
      </w:r>
      <w:r w:rsidRPr="001E6608">
        <w:rPr>
          <w:szCs w:val="24"/>
        </w:rPr>
        <w:t>under</w:t>
      </w:r>
      <w:r w:rsidRPr="001E6608">
        <w:rPr>
          <w:b/>
          <w:szCs w:val="24"/>
        </w:rPr>
        <w:t xml:space="preserve"> Høringer.</w:t>
      </w:r>
    </w:p>
    <w:p w:rsidR="00515A8F" w:rsidRPr="001E6608" w:rsidRDefault="00515A8F">
      <w:pPr>
        <w:rPr>
          <w:szCs w:val="24"/>
        </w:rPr>
      </w:pPr>
    </w:p>
    <w:p w:rsidR="00515A8F" w:rsidRPr="001E6608" w:rsidRDefault="00515A8F">
      <w:pPr>
        <w:rPr>
          <w:szCs w:val="24"/>
        </w:rPr>
      </w:pPr>
      <w:r w:rsidRPr="001E6608">
        <w:rPr>
          <w:szCs w:val="24"/>
        </w:rPr>
        <w:t>Med hilsen</w:t>
      </w:r>
    </w:p>
    <w:p w:rsidR="00515A8F" w:rsidRPr="001E6608" w:rsidRDefault="00515A8F">
      <w:pPr>
        <w:rPr>
          <w:szCs w:val="24"/>
        </w:rPr>
      </w:pPr>
      <w:r w:rsidRPr="001E6608">
        <w:rPr>
          <w:szCs w:val="24"/>
        </w:rPr>
        <w:t>Den norske l</w:t>
      </w:r>
      <w:r w:rsidR="004C628F" w:rsidRPr="001E6608">
        <w:rPr>
          <w:szCs w:val="24"/>
        </w:rPr>
        <w:t>e</w:t>
      </w:r>
      <w:r w:rsidRPr="001E6608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3469F0">
      <w:pPr>
        <w:rPr>
          <w:szCs w:val="24"/>
        </w:rPr>
      </w:pPr>
      <w:bookmarkStart w:id="4" w:name="bkmUnders"/>
      <w:bookmarkEnd w:id="4"/>
      <w:r>
        <w:rPr>
          <w:szCs w:val="24"/>
        </w:rPr>
        <w:t>Ingvild Bjørgo Berg</w:t>
      </w:r>
    </w:p>
    <w:p w:rsidR="00515A8F" w:rsidRPr="00F97002" w:rsidRDefault="003469F0">
      <w:pPr>
        <w:rPr>
          <w:szCs w:val="24"/>
        </w:rPr>
      </w:pPr>
      <w:bookmarkStart w:id="5" w:name="bkmTittel"/>
      <w:bookmarkEnd w:id="5"/>
      <w:r>
        <w:rPr>
          <w:szCs w:val="24"/>
        </w:rPr>
        <w:t>Helsepolitisk rådgiver</w:t>
      </w:r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F0" w:rsidRDefault="003469F0">
      <w:pPr>
        <w:spacing w:line="20" w:lineRule="exact"/>
      </w:pPr>
    </w:p>
  </w:endnote>
  <w:endnote w:type="continuationSeparator" w:id="0">
    <w:p w:rsidR="003469F0" w:rsidRDefault="003469F0">
      <w:r>
        <w:t xml:space="preserve"> </w:t>
      </w:r>
    </w:p>
  </w:endnote>
  <w:endnote w:type="continuationNotice" w:id="1">
    <w:p w:rsidR="003469F0" w:rsidRDefault="003469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F0" w:rsidRDefault="003469F0">
      <w:r>
        <w:separator/>
      </w:r>
    </w:p>
  </w:footnote>
  <w:footnote w:type="continuationSeparator" w:id="0">
    <w:p w:rsidR="003469F0" w:rsidRDefault="0034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3C7F"/>
    <w:multiLevelType w:val="hybridMultilevel"/>
    <w:tmpl w:val="457299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04868"/>
    <w:multiLevelType w:val="hybridMultilevel"/>
    <w:tmpl w:val="0A3E42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F0"/>
    <w:rsid w:val="00036D82"/>
    <w:rsid w:val="000645B0"/>
    <w:rsid w:val="0007726E"/>
    <w:rsid w:val="000C6B0E"/>
    <w:rsid w:val="00140B5C"/>
    <w:rsid w:val="00172583"/>
    <w:rsid w:val="001E6608"/>
    <w:rsid w:val="003011EE"/>
    <w:rsid w:val="003469F0"/>
    <w:rsid w:val="00417EEE"/>
    <w:rsid w:val="0042025D"/>
    <w:rsid w:val="004C628F"/>
    <w:rsid w:val="004D0576"/>
    <w:rsid w:val="00515A8F"/>
    <w:rsid w:val="005C07DC"/>
    <w:rsid w:val="00604BF8"/>
    <w:rsid w:val="006B589F"/>
    <w:rsid w:val="006D76F5"/>
    <w:rsid w:val="007C618B"/>
    <w:rsid w:val="00826B36"/>
    <w:rsid w:val="008F39F3"/>
    <w:rsid w:val="00997DB2"/>
    <w:rsid w:val="009D0074"/>
    <w:rsid w:val="009D1786"/>
    <w:rsid w:val="00A064D9"/>
    <w:rsid w:val="00A55267"/>
    <w:rsid w:val="00BE2998"/>
    <w:rsid w:val="00C33AB7"/>
    <w:rsid w:val="00D5242A"/>
    <w:rsid w:val="00DC1503"/>
    <w:rsid w:val="00DD479E"/>
    <w:rsid w:val="00DE3EAA"/>
    <w:rsid w:val="00EB5AE9"/>
    <w:rsid w:val="00EC2322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EC2322"/>
    <w:rPr>
      <w:color w:val="0000FF" w:themeColor="hyperlink"/>
      <w:u w:val="single"/>
    </w:rPr>
  </w:style>
  <w:style w:type="character" w:customStyle="1" w:styleId="fontstyle01">
    <w:name w:val="fontstyle01"/>
    <w:basedOn w:val="Standardskriftforavsnitt"/>
    <w:rsid w:val="00A5526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6D76F5"/>
    <w:pPr>
      <w:ind w:left="720"/>
      <w:contextualSpacing/>
    </w:pPr>
  </w:style>
  <w:style w:type="character" w:styleId="Fulgthyperkobling">
    <w:name w:val="FollowedHyperlink"/>
    <w:basedOn w:val="Standardskriftforavsnitt"/>
    <w:rsid w:val="003011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EC2322"/>
    <w:rPr>
      <w:color w:val="0000FF" w:themeColor="hyperlink"/>
      <w:u w:val="single"/>
    </w:rPr>
  </w:style>
  <w:style w:type="character" w:customStyle="1" w:styleId="fontstyle01">
    <w:name w:val="fontstyle01"/>
    <w:basedOn w:val="Standardskriftforavsnitt"/>
    <w:rsid w:val="00A5526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6D76F5"/>
    <w:pPr>
      <w:ind w:left="720"/>
      <w:contextualSpacing/>
    </w:pPr>
  </w:style>
  <w:style w:type="character" w:styleId="Fulgthyperkobling">
    <w:name w:val="FollowedHyperlink"/>
    <w:basedOn w:val="Standardskriftforavsnitt"/>
    <w:rsid w:val="003011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egjeringen.no/no/dokumenter/pasientjournal/id2598296/?utm_source=www.regjeringen.no&amp;utm_medium=epost&amp;utm_campaign=nyhetsvarsel%2018.04.2018&amp;utm_content=H%C3%B8yring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A22CF-C79C-4D11-B6DC-40A1CA6C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57</TotalTime>
  <Pages>2</Pages>
  <Words>533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16</cp:revision>
  <cp:lastPrinted>2007-12-18T07:22:00Z</cp:lastPrinted>
  <dcterms:created xsi:type="dcterms:W3CDTF">2018-04-26T11:54:00Z</dcterms:created>
  <dcterms:modified xsi:type="dcterms:W3CDTF">2018-04-30T11:44:00Z</dcterms:modified>
</cp:coreProperties>
</file>