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713" w:rsidRPr="00795EAC" w:rsidRDefault="009A7C9F">
      <w:pPr>
        <w:rPr>
          <w:rFonts w:ascii="Calibri" w:hAnsi="Calibri" w:cs="Calibri"/>
          <w:b/>
          <w:sz w:val="26"/>
          <w:szCs w:val="24"/>
        </w:rPr>
      </w:pPr>
      <w:r w:rsidRPr="00795EAC">
        <w:rPr>
          <w:rFonts w:ascii="Calibri" w:hAnsi="Calibri" w:cs="Calibri"/>
          <w:b/>
          <w:sz w:val="26"/>
          <w:szCs w:val="24"/>
        </w:rPr>
        <w:t xml:space="preserve">Mal for </w:t>
      </w:r>
      <w:r w:rsidR="007F0D42">
        <w:rPr>
          <w:rFonts w:ascii="Calibri" w:hAnsi="Calibri" w:cs="Calibri"/>
          <w:b/>
          <w:sz w:val="26"/>
          <w:szCs w:val="24"/>
        </w:rPr>
        <w:t>«</w:t>
      </w:r>
      <w:r w:rsidRPr="00795EAC">
        <w:rPr>
          <w:rFonts w:ascii="Calibri" w:hAnsi="Calibri" w:cs="Calibri"/>
          <w:b/>
          <w:sz w:val="26"/>
          <w:szCs w:val="24"/>
        </w:rPr>
        <w:t>program</w:t>
      </w:r>
      <w:r w:rsidR="00502DE4" w:rsidRPr="00795EAC">
        <w:rPr>
          <w:rFonts w:ascii="Calibri" w:hAnsi="Calibri" w:cs="Calibri"/>
          <w:b/>
          <w:sz w:val="26"/>
          <w:szCs w:val="24"/>
        </w:rPr>
        <w:t xml:space="preserve"> / </w:t>
      </w:r>
      <w:r w:rsidRPr="00795EAC">
        <w:rPr>
          <w:rFonts w:ascii="Calibri" w:hAnsi="Calibri" w:cs="Calibri"/>
          <w:b/>
          <w:sz w:val="26"/>
          <w:szCs w:val="24"/>
        </w:rPr>
        <w:t>emneliste for teoretisk undervisning</w:t>
      </w:r>
      <w:r w:rsidR="007F0D42">
        <w:rPr>
          <w:rFonts w:ascii="Calibri" w:hAnsi="Calibri" w:cs="Calibri"/>
          <w:b/>
          <w:sz w:val="26"/>
          <w:szCs w:val="24"/>
        </w:rPr>
        <w:t>»</w:t>
      </w:r>
      <w:r w:rsidRPr="00795EAC">
        <w:rPr>
          <w:rFonts w:ascii="Calibri" w:hAnsi="Calibri" w:cs="Calibri"/>
          <w:b/>
          <w:sz w:val="26"/>
          <w:szCs w:val="24"/>
        </w:rPr>
        <w:t xml:space="preserve"> </w:t>
      </w:r>
      <w:r w:rsidR="00502DE4" w:rsidRPr="00795EAC">
        <w:rPr>
          <w:rFonts w:ascii="Calibri" w:hAnsi="Calibri" w:cs="Calibri"/>
          <w:b/>
          <w:sz w:val="26"/>
          <w:szCs w:val="24"/>
        </w:rPr>
        <w:t xml:space="preserve">ved godkjente </w:t>
      </w:r>
      <w:r w:rsidR="00502DE4" w:rsidRPr="00502DE4">
        <w:rPr>
          <w:rFonts w:ascii="Calibri" w:hAnsi="Calibri" w:cs="Calibri"/>
          <w:b/>
          <w:sz w:val="26"/>
          <w:szCs w:val="24"/>
        </w:rPr>
        <w:t>utdanningsinstitusjoner</w:t>
      </w:r>
    </w:p>
    <w:p w:rsidR="009A7C9F" w:rsidRPr="00795EAC" w:rsidRDefault="009A7C9F">
      <w:pPr>
        <w:rPr>
          <w:rFonts w:ascii="Calibri" w:hAnsi="Calibri" w:cs="Calibri"/>
          <w:sz w:val="22"/>
          <w:szCs w:val="22"/>
        </w:rPr>
      </w:pPr>
    </w:p>
    <w:p w:rsidR="007F0D42" w:rsidRPr="00795EAC" w:rsidRDefault="007F0D42" w:rsidP="007F0D42">
      <w:pPr>
        <w:rPr>
          <w:rFonts w:ascii="Calibri" w:hAnsi="Calibri" w:cs="Calibri"/>
          <w:sz w:val="23"/>
          <w:szCs w:val="22"/>
        </w:rPr>
      </w:pPr>
      <w:r w:rsidRPr="00795EAC">
        <w:rPr>
          <w:rFonts w:ascii="Calibri" w:hAnsi="Calibri" w:cs="Calibri"/>
          <w:sz w:val="23"/>
          <w:szCs w:val="22"/>
        </w:rPr>
        <w:t xml:space="preserve">I </w:t>
      </w:r>
      <w:r w:rsidR="00543D20">
        <w:rPr>
          <w:rFonts w:ascii="Calibri" w:hAnsi="Calibri" w:cs="Calibri"/>
          <w:sz w:val="23"/>
          <w:szCs w:val="22"/>
        </w:rPr>
        <w:t>følge</w:t>
      </w:r>
      <w:r w:rsidRPr="00795EAC">
        <w:rPr>
          <w:rFonts w:ascii="Calibri" w:hAnsi="Calibri" w:cs="Calibri"/>
          <w:sz w:val="23"/>
          <w:szCs w:val="22"/>
        </w:rPr>
        <w:t xml:space="preserve"> spesialistreglenes </w:t>
      </w:r>
      <w:hyperlink r:id="rId5" w:history="1">
        <w:r w:rsidRPr="00795EAC">
          <w:rPr>
            <w:rStyle w:val="Hyperkobling"/>
            <w:rFonts w:ascii="Calibri" w:hAnsi="Calibri" w:cs="Calibri"/>
            <w:color w:val="0070C0"/>
            <w:sz w:val="23"/>
            <w:szCs w:val="23"/>
          </w:rPr>
          <w:t>generelle bestemmelser</w:t>
        </w:r>
      </w:hyperlink>
      <w:r w:rsidRPr="00795EAC">
        <w:rPr>
          <w:rFonts w:ascii="Calibri" w:hAnsi="Calibri" w:cs="Calibri"/>
          <w:sz w:val="23"/>
          <w:szCs w:val="22"/>
        </w:rPr>
        <w:t xml:space="preserve"> § 8, skal godkjente utdanningsinstitusjoner gjennomføre teoriundervisning minimum 2 undervisningstimer (2 x 45 minutter) ukentlig. Slik undervisning må i følge spesialitetsrådet gjennomføres minst 36 uker pr år for at den skal anses som regelmessig, ukentlig undervisning.</w:t>
      </w:r>
    </w:p>
    <w:p w:rsidR="007F0D42" w:rsidRDefault="007F0D42">
      <w:pPr>
        <w:rPr>
          <w:rFonts w:ascii="Calibri" w:hAnsi="Calibri" w:cs="Calibri"/>
          <w:sz w:val="23"/>
          <w:szCs w:val="22"/>
        </w:rPr>
      </w:pPr>
    </w:p>
    <w:p w:rsidR="009A7C9F" w:rsidRDefault="007F0D42">
      <w:pPr>
        <w:rPr>
          <w:rFonts w:ascii="Calibri" w:hAnsi="Calibri" w:cs="Calibri"/>
          <w:sz w:val="23"/>
          <w:szCs w:val="22"/>
        </w:rPr>
      </w:pPr>
      <w:r>
        <w:rPr>
          <w:rFonts w:ascii="Calibri" w:hAnsi="Calibri" w:cs="Calibri"/>
          <w:sz w:val="23"/>
          <w:szCs w:val="22"/>
        </w:rPr>
        <w:t>«</w:t>
      </w:r>
      <w:r w:rsidR="009A7C9F" w:rsidRPr="00795EAC">
        <w:rPr>
          <w:rFonts w:ascii="Calibri" w:hAnsi="Calibri" w:cs="Calibri"/>
          <w:sz w:val="23"/>
          <w:szCs w:val="22"/>
        </w:rPr>
        <w:t>Program/emneliste for teoretisk undervisning</w:t>
      </w:r>
      <w:r>
        <w:rPr>
          <w:rFonts w:ascii="Calibri" w:hAnsi="Calibri" w:cs="Calibri"/>
          <w:sz w:val="23"/>
          <w:szCs w:val="22"/>
        </w:rPr>
        <w:t xml:space="preserve">» </w:t>
      </w:r>
      <w:r w:rsidR="009A7C9F" w:rsidRPr="00795EAC">
        <w:rPr>
          <w:rFonts w:ascii="Calibri" w:hAnsi="Calibri" w:cs="Calibri"/>
          <w:sz w:val="23"/>
          <w:szCs w:val="22"/>
        </w:rPr>
        <w:t xml:space="preserve">skal vise </w:t>
      </w:r>
      <w:r w:rsidR="00502DE4" w:rsidRPr="00795EAC">
        <w:rPr>
          <w:rFonts w:ascii="Calibri" w:hAnsi="Calibri" w:cs="Calibri"/>
          <w:sz w:val="23"/>
          <w:szCs w:val="22"/>
        </w:rPr>
        <w:t xml:space="preserve">både </w:t>
      </w:r>
      <w:r w:rsidR="009A7C9F" w:rsidRPr="00795EAC">
        <w:rPr>
          <w:rFonts w:ascii="Calibri" w:hAnsi="Calibri" w:cs="Calibri"/>
          <w:sz w:val="23"/>
          <w:szCs w:val="22"/>
          <w:u w:val="single"/>
        </w:rPr>
        <w:t>planlagt</w:t>
      </w:r>
      <w:r w:rsidR="009A7C9F" w:rsidRPr="00795EAC">
        <w:rPr>
          <w:rFonts w:ascii="Calibri" w:hAnsi="Calibri" w:cs="Calibri"/>
          <w:sz w:val="23"/>
          <w:szCs w:val="22"/>
        </w:rPr>
        <w:t xml:space="preserve"> </w:t>
      </w:r>
      <w:r w:rsidR="009A7C9F" w:rsidRPr="00795EAC">
        <w:rPr>
          <w:rFonts w:ascii="Calibri" w:hAnsi="Calibri" w:cs="Calibri"/>
          <w:b/>
          <w:sz w:val="23"/>
          <w:szCs w:val="22"/>
        </w:rPr>
        <w:t>og</w:t>
      </w:r>
      <w:r w:rsidR="009A7C9F" w:rsidRPr="00795EAC">
        <w:rPr>
          <w:rFonts w:ascii="Calibri" w:hAnsi="Calibri" w:cs="Calibri"/>
          <w:sz w:val="23"/>
          <w:szCs w:val="22"/>
        </w:rPr>
        <w:t xml:space="preserve"> </w:t>
      </w:r>
      <w:r w:rsidR="009A7C9F" w:rsidRPr="00795EAC">
        <w:rPr>
          <w:rFonts w:ascii="Calibri" w:hAnsi="Calibri" w:cs="Calibri"/>
          <w:sz w:val="23"/>
          <w:szCs w:val="22"/>
          <w:u w:val="single"/>
        </w:rPr>
        <w:t>gjennomført</w:t>
      </w:r>
      <w:r w:rsidR="009A7C9F" w:rsidRPr="00795EAC">
        <w:rPr>
          <w:rFonts w:ascii="Calibri" w:hAnsi="Calibri" w:cs="Calibri"/>
          <w:sz w:val="23"/>
          <w:szCs w:val="22"/>
        </w:rPr>
        <w:t xml:space="preserve"> teoriundervisning ved godkjente utdanningsinstitusjoner. Det </w:t>
      </w:r>
      <w:r>
        <w:rPr>
          <w:rFonts w:ascii="Calibri" w:hAnsi="Calibri" w:cs="Calibri"/>
          <w:sz w:val="23"/>
          <w:szCs w:val="22"/>
        </w:rPr>
        <w:t>mest oversiktlige</w:t>
      </w:r>
      <w:r w:rsidR="009A7C9F" w:rsidRPr="00795EAC">
        <w:rPr>
          <w:rFonts w:ascii="Calibri" w:hAnsi="Calibri" w:cs="Calibri"/>
          <w:sz w:val="23"/>
          <w:szCs w:val="22"/>
        </w:rPr>
        <w:t xml:space="preserve"> er at det føres </w:t>
      </w:r>
      <w:r w:rsidR="00502DE4" w:rsidRPr="00795EAC">
        <w:rPr>
          <w:rFonts w:ascii="Calibri" w:hAnsi="Calibri" w:cs="Calibri"/>
          <w:sz w:val="23"/>
          <w:szCs w:val="22"/>
        </w:rPr>
        <w:t>é</w:t>
      </w:r>
      <w:r w:rsidR="009A7C9F" w:rsidRPr="00795EAC">
        <w:rPr>
          <w:rFonts w:ascii="Calibri" w:hAnsi="Calibri" w:cs="Calibri"/>
          <w:sz w:val="23"/>
          <w:szCs w:val="22"/>
        </w:rPr>
        <w:t>n liste pr semester.</w:t>
      </w:r>
    </w:p>
    <w:p w:rsidR="007F0D42" w:rsidRDefault="007F0D42">
      <w:pPr>
        <w:rPr>
          <w:rFonts w:ascii="Calibri" w:hAnsi="Calibri" w:cs="Calibri"/>
          <w:sz w:val="23"/>
          <w:szCs w:val="22"/>
        </w:rPr>
      </w:pPr>
    </w:p>
    <w:p w:rsidR="007F0D42" w:rsidRPr="00795EAC" w:rsidRDefault="007F0D42">
      <w:pPr>
        <w:rPr>
          <w:rFonts w:ascii="Calibri" w:hAnsi="Calibri" w:cs="Calibri"/>
          <w:sz w:val="23"/>
          <w:szCs w:val="22"/>
        </w:rPr>
      </w:pPr>
      <w:r>
        <w:rPr>
          <w:rFonts w:ascii="Calibri" w:hAnsi="Calibri" w:cs="Calibri"/>
          <w:sz w:val="23"/>
          <w:szCs w:val="22"/>
        </w:rPr>
        <w:t xml:space="preserve">Listene skal ikke fylles ut for hånd. </w:t>
      </w:r>
    </w:p>
    <w:p w:rsidR="009A7C9F" w:rsidRPr="00795EAC" w:rsidRDefault="009A7C9F">
      <w:pPr>
        <w:rPr>
          <w:rFonts w:ascii="Calibri" w:hAnsi="Calibri" w:cs="Calibri"/>
          <w:sz w:val="23"/>
          <w:szCs w:val="22"/>
        </w:rPr>
      </w:pPr>
    </w:p>
    <w:p w:rsidR="009A7C9F" w:rsidRPr="00795EAC" w:rsidRDefault="009A7C9F">
      <w:pPr>
        <w:rPr>
          <w:rFonts w:ascii="Calibri" w:hAnsi="Calibri" w:cs="Calibri"/>
          <w:sz w:val="23"/>
          <w:szCs w:val="22"/>
        </w:rPr>
      </w:pPr>
      <w:r w:rsidRPr="00795EAC">
        <w:rPr>
          <w:rFonts w:ascii="Calibri" w:hAnsi="Calibri" w:cs="Calibri"/>
          <w:sz w:val="23"/>
          <w:szCs w:val="22"/>
        </w:rPr>
        <w:t xml:space="preserve">Listene blir mest oversiktlig hvis de stilles opp i </w:t>
      </w:r>
      <w:proofErr w:type="spellStart"/>
      <w:r w:rsidRPr="00795EAC">
        <w:rPr>
          <w:rFonts w:ascii="Calibri" w:hAnsi="Calibri" w:cs="Calibri"/>
          <w:sz w:val="23"/>
          <w:szCs w:val="22"/>
        </w:rPr>
        <w:t>tabellformat</w:t>
      </w:r>
      <w:proofErr w:type="spellEnd"/>
      <w:r w:rsidR="007F0D42">
        <w:rPr>
          <w:rFonts w:ascii="Calibri" w:hAnsi="Calibri" w:cs="Calibri"/>
          <w:sz w:val="23"/>
          <w:szCs w:val="22"/>
        </w:rPr>
        <w:t>.</w:t>
      </w:r>
    </w:p>
    <w:p w:rsidR="009D7F3F" w:rsidRPr="00795EAC" w:rsidRDefault="009D7F3F">
      <w:pPr>
        <w:rPr>
          <w:rFonts w:ascii="Calibri" w:hAnsi="Calibri" w:cs="Calibri"/>
          <w:sz w:val="22"/>
          <w:szCs w:val="22"/>
        </w:rPr>
      </w:pPr>
    </w:p>
    <w:p w:rsidR="009D7F3F" w:rsidRPr="00795EAC" w:rsidRDefault="007F0D42">
      <w:pPr>
        <w:rPr>
          <w:rFonts w:ascii="Calibri" w:hAnsi="Calibri" w:cs="Calibri"/>
          <w:b/>
          <w:sz w:val="22"/>
          <w:szCs w:val="22"/>
        </w:rPr>
      </w:pPr>
      <w:r>
        <w:rPr>
          <w:rFonts w:ascii="Calibri" w:hAnsi="Calibri" w:cs="Calibri"/>
          <w:b/>
          <w:i/>
          <w:sz w:val="22"/>
          <w:szCs w:val="22"/>
        </w:rPr>
        <w:t xml:space="preserve">Eksempel: </w:t>
      </w:r>
      <w:r w:rsidR="009D7F3F" w:rsidRPr="007F0D42">
        <w:rPr>
          <w:rFonts w:ascii="Calibri" w:hAnsi="Calibri" w:cs="Calibri"/>
          <w:b/>
          <w:color w:val="7F7F7F" w:themeColor="text1" w:themeTint="80"/>
          <w:sz w:val="22"/>
          <w:szCs w:val="22"/>
        </w:rPr>
        <w:t xml:space="preserve">Teoriundervisning, Nevrologisk avdeling </w:t>
      </w:r>
      <w:r w:rsidR="00D2403E" w:rsidRPr="007F0D42">
        <w:rPr>
          <w:rFonts w:ascii="Calibri" w:hAnsi="Calibri" w:cs="Calibri"/>
          <w:b/>
          <w:color w:val="7F7F7F" w:themeColor="text1" w:themeTint="80"/>
          <w:sz w:val="22"/>
          <w:szCs w:val="22"/>
        </w:rPr>
        <w:t>høst 2013</w:t>
      </w:r>
    </w:p>
    <w:p w:rsidR="009D7F3F" w:rsidRPr="00795EAC" w:rsidRDefault="009D7F3F">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1021"/>
        <w:gridCol w:w="1559"/>
        <w:gridCol w:w="2589"/>
        <w:gridCol w:w="1663"/>
        <w:gridCol w:w="1427"/>
        <w:gridCol w:w="1427"/>
      </w:tblGrid>
      <w:tr w:rsidR="00D2403E" w:rsidRPr="00795EAC" w:rsidTr="00795EAC">
        <w:tc>
          <w:tcPr>
            <w:tcW w:w="647" w:type="dxa"/>
            <w:tcBorders>
              <w:bottom w:val="double" w:sz="4" w:space="0" w:color="auto"/>
            </w:tcBorders>
            <w:shd w:val="clear" w:color="auto" w:fill="95B3D7"/>
          </w:tcPr>
          <w:p w:rsidR="00D2403E" w:rsidRPr="00795EAC" w:rsidRDefault="00D2403E">
            <w:pPr>
              <w:rPr>
                <w:rFonts w:ascii="Calibri" w:hAnsi="Calibri" w:cs="Calibri"/>
                <w:sz w:val="22"/>
                <w:szCs w:val="22"/>
              </w:rPr>
            </w:pPr>
            <w:r w:rsidRPr="00795EAC">
              <w:rPr>
                <w:rFonts w:ascii="Calibri" w:hAnsi="Calibri" w:cs="Calibri"/>
                <w:sz w:val="22"/>
                <w:szCs w:val="22"/>
              </w:rPr>
              <w:t>Dato</w:t>
            </w:r>
          </w:p>
        </w:tc>
        <w:tc>
          <w:tcPr>
            <w:tcW w:w="1021" w:type="dxa"/>
            <w:tcBorders>
              <w:bottom w:val="double" w:sz="4" w:space="0" w:color="auto"/>
            </w:tcBorders>
            <w:shd w:val="clear" w:color="auto" w:fill="95B3D7"/>
          </w:tcPr>
          <w:p w:rsidR="00D2403E" w:rsidRPr="00795EAC" w:rsidRDefault="00D2403E">
            <w:pPr>
              <w:rPr>
                <w:rFonts w:ascii="Calibri" w:hAnsi="Calibri" w:cs="Calibri"/>
                <w:sz w:val="22"/>
                <w:szCs w:val="22"/>
              </w:rPr>
            </w:pPr>
            <w:r w:rsidRPr="00795EAC">
              <w:rPr>
                <w:rFonts w:ascii="Calibri" w:hAnsi="Calibri" w:cs="Calibri"/>
                <w:sz w:val="22"/>
                <w:szCs w:val="22"/>
              </w:rPr>
              <w:t>Tid</w:t>
            </w:r>
          </w:p>
        </w:tc>
        <w:tc>
          <w:tcPr>
            <w:tcW w:w="1559" w:type="dxa"/>
            <w:tcBorders>
              <w:bottom w:val="double" w:sz="4" w:space="0" w:color="auto"/>
            </w:tcBorders>
            <w:shd w:val="clear" w:color="auto" w:fill="95B3D7"/>
          </w:tcPr>
          <w:p w:rsidR="00D2403E" w:rsidRPr="00795EAC" w:rsidRDefault="00D2403E">
            <w:pPr>
              <w:rPr>
                <w:rFonts w:ascii="Calibri" w:hAnsi="Calibri" w:cs="Calibri"/>
                <w:sz w:val="22"/>
                <w:szCs w:val="22"/>
              </w:rPr>
            </w:pPr>
            <w:r w:rsidRPr="00795EAC">
              <w:rPr>
                <w:rFonts w:ascii="Calibri" w:hAnsi="Calibri" w:cs="Calibri"/>
                <w:sz w:val="22"/>
                <w:szCs w:val="22"/>
              </w:rPr>
              <w:t>Emne</w:t>
            </w:r>
          </w:p>
        </w:tc>
        <w:tc>
          <w:tcPr>
            <w:tcW w:w="2589" w:type="dxa"/>
            <w:tcBorders>
              <w:bottom w:val="double" w:sz="4" w:space="0" w:color="auto"/>
            </w:tcBorders>
            <w:shd w:val="clear" w:color="auto" w:fill="95B3D7"/>
          </w:tcPr>
          <w:p w:rsidR="00D2403E" w:rsidRPr="00795EAC" w:rsidRDefault="00D2403E">
            <w:pPr>
              <w:rPr>
                <w:rFonts w:ascii="Calibri" w:hAnsi="Calibri" w:cs="Calibri"/>
                <w:sz w:val="22"/>
                <w:szCs w:val="22"/>
              </w:rPr>
            </w:pPr>
            <w:r w:rsidRPr="00795EAC">
              <w:rPr>
                <w:rFonts w:ascii="Calibri" w:hAnsi="Calibri" w:cs="Calibri"/>
                <w:sz w:val="22"/>
                <w:szCs w:val="22"/>
              </w:rPr>
              <w:t>Innleder (Navn + stillingsbetegnelse)</w:t>
            </w:r>
          </w:p>
        </w:tc>
        <w:tc>
          <w:tcPr>
            <w:tcW w:w="1663" w:type="dxa"/>
            <w:tcBorders>
              <w:bottom w:val="double" w:sz="4" w:space="0" w:color="auto"/>
            </w:tcBorders>
            <w:shd w:val="clear" w:color="auto" w:fill="95B3D7"/>
          </w:tcPr>
          <w:p w:rsidR="00D2403E" w:rsidRPr="00795EAC" w:rsidRDefault="00D2403E">
            <w:pPr>
              <w:rPr>
                <w:rFonts w:ascii="Calibri" w:hAnsi="Calibri" w:cs="Calibri"/>
                <w:sz w:val="22"/>
                <w:szCs w:val="22"/>
              </w:rPr>
            </w:pPr>
            <w:r w:rsidRPr="00795EAC">
              <w:rPr>
                <w:rFonts w:ascii="Calibri" w:hAnsi="Calibri" w:cs="Calibri"/>
                <w:sz w:val="22"/>
                <w:szCs w:val="22"/>
              </w:rPr>
              <w:t xml:space="preserve">Gjennomført/ </w:t>
            </w:r>
          </w:p>
          <w:p w:rsidR="00D2403E" w:rsidRPr="00795EAC" w:rsidRDefault="00D2403E">
            <w:pPr>
              <w:rPr>
                <w:rFonts w:ascii="Calibri" w:hAnsi="Calibri" w:cs="Calibri"/>
                <w:sz w:val="22"/>
                <w:szCs w:val="22"/>
              </w:rPr>
            </w:pPr>
            <w:r w:rsidRPr="00795EAC">
              <w:rPr>
                <w:rFonts w:ascii="Calibri" w:hAnsi="Calibri" w:cs="Calibri"/>
                <w:sz w:val="22"/>
                <w:szCs w:val="22"/>
              </w:rPr>
              <w:t>avlyst</w:t>
            </w:r>
          </w:p>
        </w:tc>
        <w:tc>
          <w:tcPr>
            <w:tcW w:w="1427" w:type="dxa"/>
            <w:tcBorders>
              <w:bottom w:val="double" w:sz="4" w:space="0" w:color="auto"/>
            </w:tcBorders>
            <w:shd w:val="clear" w:color="auto" w:fill="95B3D7"/>
          </w:tcPr>
          <w:p w:rsidR="00D2403E" w:rsidRPr="00795EAC" w:rsidRDefault="00D2403E" w:rsidP="00502DE4">
            <w:pPr>
              <w:rPr>
                <w:rFonts w:ascii="Calibri" w:hAnsi="Calibri" w:cs="Calibri"/>
                <w:sz w:val="22"/>
                <w:szCs w:val="22"/>
              </w:rPr>
            </w:pPr>
            <w:r w:rsidRPr="00795EAC">
              <w:rPr>
                <w:rFonts w:ascii="Calibri" w:hAnsi="Calibri" w:cs="Calibri"/>
                <w:sz w:val="22"/>
                <w:szCs w:val="22"/>
              </w:rPr>
              <w:t>Fremmøte LIS*</w:t>
            </w:r>
          </w:p>
        </w:tc>
        <w:tc>
          <w:tcPr>
            <w:tcW w:w="1427" w:type="dxa"/>
            <w:tcBorders>
              <w:bottom w:val="double" w:sz="4" w:space="0" w:color="auto"/>
            </w:tcBorders>
            <w:shd w:val="clear" w:color="auto" w:fill="95B3D7"/>
          </w:tcPr>
          <w:p w:rsidR="00D2403E" w:rsidRPr="00795EAC" w:rsidRDefault="00502DE4">
            <w:pPr>
              <w:rPr>
                <w:rFonts w:ascii="Calibri" w:hAnsi="Calibri" w:cs="Calibri"/>
                <w:sz w:val="22"/>
                <w:szCs w:val="22"/>
              </w:rPr>
            </w:pPr>
            <w:r w:rsidRPr="00795EAC">
              <w:rPr>
                <w:rFonts w:ascii="Calibri" w:hAnsi="Calibri" w:cs="Calibri"/>
                <w:sz w:val="22"/>
                <w:szCs w:val="22"/>
              </w:rPr>
              <w:t>Fremmøte overleger</w:t>
            </w:r>
          </w:p>
        </w:tc>
      </w:tr>
      <w:tr w:rsidR="00D2403E" w:rsidRPr="00795EAC" w:rsidTr="00795EAC">
        <w:tc>
          <w:tcPr>
            <w:tcW w:w="647" w:type="dxa"/>
            <w:tcBorders>
              <w:top w:val="double" w:sz="4" w:space="0" w:color="auto"/>
            </w:tcBorders>
            <w:shd w:val="clear" w:color="auto" w:fill="auto"/>
          </w:tcPr>
          <w:p w:rsidR="00D2403E" w:rsidRPr="00795EAC" w:rsidRDefault="00D2403E">
            <w:pPr>
              <w:rPr>
                <w:rFonts w:ascii="Calibri" w:hAnsi="Calibri" w:cs="Calibri"/>
                <w:sz w:val="22"/>
                <w:szCs w:val="22"/>
              </w:rPr>
            </w:pPr>
            <w:r w:rsidRPr="00795EAC">
              <w:rPr>
                <w:rFonts w:ascii="Calibri" w:hAnsi="Calibri" w:cs="Calibri"/>
                <w:sz w:val="22"/>
                <w:szCs w:val="22"/>
              </w:rPr>
              <w:t>22.8</w:t>
            </w:r>
          </w:p>
        </w:tc>
        <w:tc>
          <w:tcPr>
            <w:tcW w:w="1021" w:type="dxa"/>
            <w:tcBorders>
              <w:top w:val="double" w:sz="4" w:space="0" w:color="auto"/>
            </w:tcBorders>
            <w:shd w:val="clear" w:color="auto" w:fill="auto"/>
          </w:tcPr>
          <w:p w:rsidR="00D2403E" w:rsidRPr="00795EAC" w:rsidRDefault="00D2403E">
            <w:pPr>
              <w:rPr>
                <w:rFonts w:ascii="Calibri" w:hAnsi="Calibri" w:cs="Calibri"/>
                <w:sz w:val="22"/>
                <w:szCs w:val="22"/>
              </w:rPr>
            </w:pPr>
            <w:r w:rsidRPr="00795EAC">
              <w:rPr>
                <w:rFonts w:ascii="Calibri" w:hAnsi="Calibri" w:cs="Calibri"/>
                <w:sz w:val="22"/>
                <w:szCs w:val="22"/>
              </w:rPr>
              <w:t>09:30 – 10:15</w:t>
            </w:r>
          </w:p>
        </w:tc>
        <w:tc>
          <w:tcPr>
            <w:tcW w:w="1559" w:type="dxa"/>
            <w:tcBorders>
              <w:top w:val="double" w:sz="4" w:space="0" w:color="auto"/>
            </w:tcBorders>
            <w:shd w:val="clear" w:color="auto" w:fill="auto"/>
          </w:tcPr>
          <w:p w:rsidR="00D2403E" w:rsidRPr="00795EAC" w:rsidRDefault="00D2403E">
            <w:pPr>
              <w:rPr>
                <w:rFonts w:ascii="Calibri" w:hAnsi="Calibri" w:cs="Calibri"/>
                <w:sz w:val="22"/>
                <w:szCs w:val="22"/>
              </w:rPr>
            </w:pPr>
            <w:r w:rsidRPr="00795EAC">
              <w:rPr>
                <w:rFonts w:ascii="Calibri" w:hAnsi="Calibri" w:cs="Calibri"/>
                <w:sz w:val="22"/>
                <w:szCs w:val="22"/>
              </w:rPr>
              <w:t>Koma</w:t>
            </w:r>
          </w:p>
        </w:tc>
        <w:tc>
          <w:tcPr>
            <w:tcW w:w="2589" w:type="dxa"/>
            <w:tcBorders>
              <w:top w:val="double" w:sz="4" w:space="0" w:color="auto"/>
            </w:tcBorders>
            <w:shd w:val="clear" w:color="auto" w:fill="auto"/>
          </w:tcPr>
          <w:p w:rsidR="00D2403E" w:rsidRPr="00795EAC" w:rsidRDefault="00D2403E" w:rsidP="00D2403E">
            <w:pPr>
              <w:rPr>
                <w:rFonts w:ascii="Calibri" w:hAnsi="Calibri" w:cs="Calibri"/>
                <w:sz w:val="22"/>
                <w:szCs w:val="22"/>
              </w:rPr>
            </w:pPr>
            <w:r w:rsidRPr="00795EAC">
              <w:rPr>
                <w:rFonts w:ascii="Calibri" w:hAnsi="Calibri" w:cs="Calibri"/>
                <w:sz w:val="22"/>
                <w:szCs w:val="22"/>
              </w:rPr>
              <w:t>Anne Hansen, LIS</w:t>
            </w:r>
          </w:p>
        </w:tc>
        <w:tc>
          <w:tcPr>
            <w:tcW w:w="1663" w:type="dxa"/>
            <w:tcBorders>
              <w:top w:val="double" w:sz="4" w:space="0" w:color="auto"/>
            </w:tcBorders>
            <w:shd w:val="clear" w:color="auto" w:fill="auto"/>
          </w:tcPr>
          <w:p w:rsidR="00D2403E" w:rsidRPr="00795EAC" w:rsidRDefault="00D2403E">
            <w:pPr>
              <w:rPr>
                <w:rFonts w:ascii="Calibri" w:hAnsi="Calibri" w:cs="Calibri"/>
                <w:sz w:val="22"/>
                <w:szCs w:val="22"/>
              </w:rPr>
            </w:pPr>
            <w:r w:rsidRPr="00795EAC">
              <w:rPr>
                <w:rFonts w:ascii="Calibri" w:hAnsi="Calibri" w:cs="Calibri"/>
                <w:sz w:val="22"/>
                <w:szCs w:val="22"/>
              </w:rPr>
              <w:t>Gjennomført</w:t>
            </w:r>
          </w:p>
        </w:tc>
        <w:tc>
          <w:tcPr>
            <w:tcW w:w="1427" w:type="dxa"/>
            <w:tcBorders>
              <w:top w:val="double" w:sz="4" w:space="0" w:color="auto"/>
            </w:tcBorders>
            <w:shd w:val="clear" w:color="auto" w:fill="auto"/>
          </w:tcPr>
          <w:p w:rsidR="00D2403E" w:rsidRPr="00795EAC" w:rsidRDefault="00D2403E">
            <w:pPr>
              <w:rPr>
                <w:rFonts w:ascii="Calibri" w:hAnsi="Calibri" w:cs="Calibri"/>
                <w:sz w:val="22"/>
                <w:szCs w:val="22"/>
              </w:rPr>
            </w:pPr>
            <w:r w:rsidRPr="00795EAC">
              <w:rPr>
                <w:rFonts w:ascii="Calibri" w:hAnsi="Calibri" w:cs="Calibri"/>
                <w:sz w:val="22"/>
                <w:szCs w:val="22"/>
              </w:rPr>
              <w:t>4/5 el. 90 %</w:t>
            </w:r>
          </w:p>
        </w:tc>
        <w:tc>
          <w:tcPr>
            <w:tcW w:w="1427" w:type="dxa"/>
            <w:tcBorders>
              <w:top w:val="double" w:sz="4" w:space="0" w:color="auto"/>
            </w:tcBorders>
            <w:shd w:val="clear" w:color="auto" w:fill="auto"/>
          </w:tcPr>
          <w:p w:rsidR="00D2403E" w:rsidRPr="00795EAC" w:rsidRDefault="00502DE4">
            <w:pPr>
              <w:rPr>
                <w:rFonts w:ascii="Calibri" w:hAnsi="Calibri" w:cs="Calibri"/>
                <w:sz w:val="22"/>
                <w:szCs w:val="22"/>
              </w:rPr>
            </w:pPr>
            <w:r w:rsidRPr="00795EAC">
              <w:rPr>
                <w:rFonts w:ascii="Calibri" w:hAnsi="Calibri" w:cs="Calibri"/>
                <w:sz w:val="22"/>
                <w:szCs w:val="22"/>
              </w:rPr>
              <w:t>9/10 (90 %)</w:t>
            </w:r>
          </w:p>
        </w:tc>
      </w:tr>
      <w:tr w:rsidR="00D2403E" w:rsidRPr="00795EAC" w:rsidTr="00795EAC">
        <w:tc>
          <w:tcPr>
            <w:tcW w:w="647" w:type="dxa"/>
            <w:shd w:val="clear" w:color="auto" w:fill="auto"/>
          </w:tcPr>
          <w:p w:rsidR="00D2403E" w:rsidRPr="00795EAC" w:rsidRDefault="00D2403E">
            <w:pPr>
              <w:rPr>
                <w:rFonts w:ascii="Calibri" w:hAnsi="Calibri" w:cs="Calibri"/>
                <w:sz w:val="22"/>
                <w:szCs w:val="22"/>
              </w:rPr>
            </w:pPr>
            <w:r w:rsidRPr="00795EAC">
              <w:rPr>
                <w:rFonts w:ascii="Calibri" w:hAnsi="Calibri" w:cs="Calibri"/>
                <w:sz w:val="22"/>
                <w:szCs w:val="22"/>
              </w:rPr>
              <w:t>24.8</w:t>
            </w:r>
          </w:p>
        </w:tc>
        <w:tc>
          <w:tcPr>
            <w:tcW w:w="1021" w:type="dxa"/>
            <w:shd w:val="clear" w:color="auto" w:fill="auto"/>
          </w:tcPr>
          <w:p w:rsidR="00D2403E" w:rsidRPr="00795EAC" w:rsidRDefault="00D2403E">
            <w:pPr>
              <w:rPr>
                <w:rFonts w:ascii="Calibri" w:hAnsi="Calibri" w:cs="Calibri"/>
                <w:sz w:val="22"/>
                <w:szCs w:val="22"/>
              </w:rPr>
            </w:pPr>
            <w:r w:rsidRPr="00795EAC">
              <w:rPr>
                <w:rFonts w:ascii="Calibri" w:hAnsi="Calibri" w:cs="Calibri"/>
                <w:sz w:val="22"/>
                <w:szCs w:val="22"/>
              </w:rPr>
              <w:t>10:00 – 10:45</w:t>
            </w:r>
          </w:p>
        </w:tc>
        <w:tc>
          <w:tcPr>
            <w:tcW w:w="1559" w:type="dxa"/>
            <w:shd w:val="clear" w:color="auto" w:fill="auto"/>
          </w:tcPr>
          <w:p w:rsidR="00D2403E" w:rsidRPr="00795EAC" w:rsidRDefault="00D2403E">
            <w:pPr>
              <w:rPr>
                <w:rFonts w:ascii="Calibri" w:hAnsi="Calibri" w:cs="Calibri"/>
                <w:sz w:val="22"/>
                <w:szCs w:val="22"/>
              </w:rPr>
            </w:pPr>
            <w:proofErr w:type="spellStart"/>
            <w:r w:rsidRPr="00795EAC">
              <w:rPr>
                <w:rFonts w:ascii="Calibri" w:hAnsi="Calibri" w:cs="Calibri"/>
                <w:sz w:val="22"/>
                <w:szCs w:val="22"/>
              </w:rPr>
              <w:t>Vaskulitt</w:t>
            </w:r>
            <w:proofErr w:type="spellEnd"/>
          </w:p>
        </w:tc>
        <w:tc>
          <w:tcPr>
            <w:tcW w:w="2589" w:type="dxa"/>
            <w:shd w:val="clear" w:color="auto" w:fill="auto"/>
          </w:tcPr>
          <w:p w:rsidR="00D2403E" w:rsidRPr="00795EAC" w:rsidRDefault="00D2403E">
            <w:pPr>
              <w:rPr>
                <w:rFonts w:ascii="Calibri" w:hAnsi="Calibri" w:cs="Calibri"/>
                <w:sz w:val="22"/>
                <w:szCs w:val="22"/>
              </w:rPr>
            </w:pPr>
            <w:r w:rsidRPr="00795EAC">
              <w:rPr>
                <w:rFonts w:ascii="Calibri" w:hAnsi="Calibri" w:cs="Calibri"/>
                <w:sz w:val="22"/>
                <w:szCs w:val="22"/>
              </w:rPr>
              <w:t>Nils Nilsen, overlege</w:t>
            </w:r>
          </w:p>
        </w:tc>
        <w:tc>
          <w:tcPr>
            <w:tcW w:w="1663" w:type="dxa"/>
            <w:shd w:val="clear" w:color="auto" w:fill="auto"/>
          </w:tcPr>
          <w:p w:rsidR="00D2403E" w:rsidRPr="00795EAC" w:rsidRDefault="00D2403E">
            <w:pPr>
              <w:rPr>
                <w:rFonts w:ascii="Calibri" w:hAnsi="Calibri" w:cs="Calibri"/>
                <w:sz w:val="22"/>
                <w:szCs w:val="22"/>
              </w:rPr>
            </w:pPr>
            <w:r w:rsidRPr="00795EAC">
              <w:rPr>
                <w:rFonts w:ascii="Calibri" w:hAnsi="Calibri" w:cs="Calibri"/>
                <w:sz w:val="22"/>
                <w:szCs w:val="22"/>
              </w:rPr>
              <w:t>Gjennomført</w:t>
            </w:r>
          </w:p>
        </w:tc>
        <w:tc>
          <w:tcPr>
            <w:tcW w:w="1427" w:type="dxa"/>
            <w:shd w:val="clear" w:color="auto" w:fill="auto"/>
          </w:tcPr>
          <w:p w:rsidR="00D2403E" w:rsidRPr="00795EAC" w:rsidRDefault="00D2403E">
            <w:pPr>
              <w:rPr>
                <w:rFonts w:ascii="Calibri" w:hAnsi="Calibri" w:cs="Calibri"/>
                <w:sz w:val="22"/>
                <w:szCs w:val="22"/>
              </w:rPr>
            </w:pPr>
            <w:r w:rsidRPr="00795EAC">
              <w:rPr>
                <w:rFonts w:ascii="Calibri" w:hAnsi="Calibri" w:cs="Calibri"/>
                <w:sz w:val="22"/>
                <w:szCs w:val="22"/>
              </w:rPr>
              <w:t xml:space="preserve">5/5 el. </w:t>
            </w:r>
            <w:proofErr w:type="gramStart"/>
            <w:r w:rsidRPr="00795EAC">
              <w:rPr>
                <w:rFonts w:ascii="Calibri" w:hAnsi="Calibri" w:cs="Calibri"/>
                <w:sz w:val="22"/>
                <w:szCs w:val="22"/>
              </w:rPr>
              <w:t>100%</w:t>
            </w:r>
            <w:proofErr w:type="gramEnd"/>
          </w:p>
        </w:tc>
        <w:tc>
          <w:tcPr>
            <w:tcW w:w="1427" w:type="dxa"/>
            <w:shd w:val="clear" w:color="auto" w:fill="auto"/>
          </w:tcPr>
          <w:p w:rsidR="00D2403E" w:rsidRPr="00795EAC" w:rsidRDefault="00502DE4">
            <w:pPr>
              <w:rPr>
                <w:rFonts w:ascii="Calibri" w:hAnsi="Calibri" w:cs="Calibri"/>
                <w:sz w:val="22"/>
                <w:szCs w:val="22"/>
              </w:rPr>
            </w:pPr>
            <w:r w:rsidRPr="00795EAC">
              <w:rPr>
                <w:rFonts w:ascii="Calibri" w:hAnsi="Calibri" w:cs="Calibri"/>
                <w:sz w:val="22"/>
                <w:szCs w:val="22"/>
              </w:rPr>
              <w:t>8/10 (80 %)</w:t>
            </w:r>
          </w:p>
        </w:tc>
      </w:tr>
      <w:tr w:rsidR="00D2403E" w:rsidRPr="00795EAC" w:rsidTr="00795EAC">
        <w:tc>
          <w:tcPr>
            <w:tcW w:w="647" w:type="dxa"/>
            <w:shd w:val="clear" w:color="auto" w:fill="auto"/>
          </w:tcPr>
          <w:p w:rsidR="00D2403E" w:rsidRPr="00795EAC" w:rsidRDefault="00D2403E">
            <w:pPr>
              <w:rPr>
                <w:rFonts w:ascii="Calibri" w:hAnsi="Calibri" w:cs="Calibri"/>
                <w:sz w:val="22"/>
                <w:szCs w:val="22"/>
              </w:rPr>
            </w:pPr>
          </w:p>
        </w:tc>
        <w:tc>
          <w:tcPr>
            <w:tcW w:w="1021" w:type="dxa"/>
            <w:shd w:val="clear" w:color="auto" w:fill="auto"/>
          </w:tcPr>
          <w:p w:rsidR="00D2403E" w:rsidRPr="00795EAC" w:rsidRDefault="00D2403E">
            <w:pPr>
              <w:rPr>
                <w:rFonts w:ascii="Calibri" w:hAnsi="Calibri" w:cs="Calibri"/>
                <w:sz w:val="22"/>
                <w:szCs w:val="22"/>
              </w:rPr>
            </w:pPr>
          </w:p>
        </w:tc>
        <w:tc>
          <w:tcPr>
            <w:tcW w:w="1559" w:type="dxa"/>
            <w:shd w:val="clear" w:color="auto" w:fill="auto"/>
          </w:tcPr>
          <w:p w:rsidR="00D2403E" w:rsidRPr="00795EAC" w:rsidRDefault="00D2403E">
            <w:pPr>
              <w:rPr>
                <w:rFonts w:ascii="Calibri" w:hAnsi="Calibri" w:cs="Calibri"/>
                <w:sz w:val="22"/>
                <w:szCs w:val="22"/>
              </w:rPr>
            </w:pPr>
          </w:p>
        </w:tc>
        <w:tc>
          <w:tcPr>
            <w:tcW w:w="2589" w:type="dxa"/>
            <w:shd w:val="clear" w:color="auto" w:fill="auto"/>
          </w:tcPr>
          <w:p w:rsidR="00D2403E" w:rsidRPr="00795EAC" w:rsidRDefault="00D2403E">
            <w:pPr>
              <w:rPr>
                <w:rFonts w:ascii="Calibri" w:hAnsi="Calibri" w:cs="Calibri"/>
                <w:sz w:val="22"/>
                <w:szCs w:val="22"/>
              </w:rPr>
            </w:pPr>
          </w:p>
        </w:tc>
        <w:tc>
          <w:tcPr>
            <w:tcW w:w="1663" w:type="dxa"/>
            <w:shd w:val="clear" w:color="auto" w:fill="auto"/>
          </w:tcPr>
          <w:p w:rsidR="00D2403E" w:rsidRPr="00795EAC" w:rsidRDefault="00D2403E">
            <w:pPr>
              <w:rPr>
                <w:rFonts w:ascii="Calibri" w:hAnsi="Calibri" w:cs="Calibri"/>
                <w:sz w:val="22"/>
                <w:szCs w:val="22"/>
              </w:rPr>
            </w:pPr>
          </w:p>
        </w:tc>
        <w:tc>
          <w:tcPr>
            <w:tcW w:w="1427" w:type="dxa"/>
            <w:shd w:val="clear" w:color="auto" w:fill="auto"/>
          </w:tcPr>
          <w:p w:rsidR="00D2403E" w:rsidRPr="00795EAC" w:rsidRDefault="00D2403E">
            <w:pPr>
              <w:rPr>
                <w:rFonts w:ascii="Calibri" w:hAnsi="Calibri" w:cs="Calibri"/>
                <w:sz w:val="22"/>
                <w:szCs w:val="22"/>
              </w:rPr>
            </w:pPr>
          </w:p>
        </w:tc>
        <w:tc>
          <w:tcPr>
            <w:tcW w:w="1427" w:type="dxa"/>
            <w:shd w:val="clear" w:color="auto" w:fill="auto"/>
          </w:tcPr>
          <w:p w:rsidR="00D2403E" w:rsidRPr="00795EAC" w:rsidRDefault="00D2403E">
            <w:pPr>
              <w:rPr>
                <w:rFonts w:ascii="Calibri" w:hAnsi="Calibri" w:cs="Calibri"/>
                <w:sz w:val="22"/>
                <w:szCs w:val="22"/>
              </w:rPr>
            </w:pPr>
          </w:p>
        </w:tc>
      </w:tr>
    </w:tbl>
    <w:p w:rsidR="009D7F3F" w:rsidRPr="00795EAC" w:rsidRDefault="009D7F3F">
      <w:pPr>
        <w:rPr>
          <w:rFonts w:ascii="Calibri" w:hAnsi="Calibri" w:cs="Calibri"/>
          <w:sz w:val="22"/>
          <w:szCs w:val="22"/>
        </w:rPr>
      </w:pPr>
    </w:p>
    <w:p w:rsidR="00B027DA" w:rsidRPr="00795EAC" w:rsidRDefault="00B027DA">
      <w:pPr>
        <w:rPr>
          <w:rFonts w:ascii="Calibri" w:hAnsi="Calibri" w:cs="Calibri"/>
          <w:sz w:val="20"/>
        </w:rPr>
      </w:pPr>
      <w:r w:rsidRPr="00795EAC">
        <w:rPr>
          <w:rFonts w:ascii="Calibri" w:hAnsi="Calibri" w:cs="Calibri"/>
          <w:sz w:val="20"/>
        </w:rPr>
        <w:t>* LIS = lege(r) i spesialisering</w:t>
      </w:r>
    </w:p>
    <w:p w:rsidR="00E45966" w:rsidRPr="00795EAC" w:rsidRDefault="00E45966">
      <w:pPr>
        <w:rPr>
          <w:rFonts w:ascii="Calibri" w:hAnsi="Calibri" w:cs="Calibri"/>
          <w:sz w:val="22"/>
          <w:szCs w:val="22"/>
        </w:rPr>
      </w:pPr>
    </w:p>
    <w:p w:rsidR="009A7C9F" w:rsidRDefault="00E45966">
      <w:pPr>
        <w:rPr>
          <w:rFonts w:ascii="Calibri" w:hAnsi="Calibri" w:cs="Calibri"/>
          <w:sz w:val="22"/>
          <w:szCs w:val="22"/>
        </w:rPr>
      </w:pPr>
      <w:r w:rsidRPr="00795EAC">
        <w:rPr>
          <w:rFonts w:ascii="Calibri" w:hAnsi="Calibri" w:cs="Calibri"/>
          <w:sz w:val="22"/>
          <w:szCs w:val="22"/>
        </w:rPr>
        <w:t xml:space="preserve">Når det leveres </w:t>
      </w:r>
      <w:hyperlink r:id="rId6" w:history="1">
        <w:r w:rsidRPr="00795EAC">
          <w:rPr>
            <w:rStyle w:val="Hyperkobling"/>
            <w:rFonts w:ascii="Calibri" w:hAnsi="Calibri" w:cs="Calibri"/>
            <w:color w:val="0070C0"/>
            <w:sz w:val="22"/>
            <w:szCs w:val="22"/>
          </w:rPr>
          <w:t>Rapport om spesialistutdanning</w:t>
        </w:r>
      </w:hyperlink>
      <w:r w:rsidRPr="00795EAC">
        <w:rPr>
          <w:rFonts w:ascii="Calibri" w:hAnsi="Calibri" w:cs="Calibri"/>
          <w:sz w:val="22"/>
          <w:szCs w:val="22"/>
        </w:rPr>
        <w:t xml:space="preserve"> i SERUS, må institusjoner som har deltatt i andre institusjoners/avdelingers undervisning vedlegge program også for denne undervisning. Dette gjelder også for nettundervisning og regional undervisning.</w:t>
      </w:r>
    </w:p>
    <w:p w:rsidR="007F0D42" w:rsidRDefault="007F0D42">
      <w:pPr>
        <w:rPr>
          <w:rFonts w:ascii="Calibri" w:hAnsi="Calibri" w:cs="Calibri"/>
          <w:sz w:val="22"/>
          <w:szCs w:val="22"/>
        </w:rPr>
      </w:pPr>
    </w:p>
    <w:p w:rsidR="007F0D42" w:rsidRDefault="007F0D42">
      <w:pPr>
        <w:rPr>
          <w:rFonts w:ascii="Calibri" w:hAnsi="Calibri" w:cs="Calibri"/>
          <w:sz w:val="22"/>
          <w:szCs w:val="22"/>
        </w:rPr>
      </w:pPr>
    </w:p>
    <w:p w:rsidR="007F0D42" w:rsidRDefault="00543D20">
      <w:pPr>
        <w:rPr>
          <w:rFonts w:ascii="Calibri" w:hAnsi="Calibri" w:cs="Calibri"/>
          <w:sz w:val="22"/>
          <w:szCs w:val="22"/>
        </w:rPr>
      </w:pPr>
      <w:r>
        <w:rPr>
          <w:rFonts w:ascii="Calibri" w:hAnsi="Calibri" w:cs="Calibri"/>
          <w:b/>
          <w:sz w:val="22"/>
          <w:szCs w:val="22"/>
        </w:rPr>
        <w:t xml:space="preserve">Langtidsplan for </w:t>
      </w:r>
      <w:proofErr w:type="gramStart"/>
      <w:r>
        <w:rPr>
          <w:rFonts w:ascii="Calibri" w:hAnsi="Calibri" w:cs="Calibri"/>
          <w:b/>
          <w:sz w:val="22"/>
          <w:szCs w:val="22"/>
        </w:rPr>
        <w:t>teoriundervisning  -</w:t>
      </w:r>
      <w:proofErr w:type="gramEnd"/>
      <w:r>
        <w:rPr>
          <w:rFonts w:ascii="Calibri" w:hAnsi="Calibri" w:cs="Calibri"/>
          <w:b/>
          <w:sz w:val="22"/>
          <w:szCs w:val="22"/>
        </w:rPr>
        <w:t xml:space="preserve"> </w:t>
      </w:r>
      <w:r w:rsidR="007F0D42">
        <w:rPr>
          <w:rFonts w:ascii="Calibri" w:hAnsi="Calibri" w:cs="Calibri"/>
          <w:b/>
          <w:sz w:val="22"/>
          <w:szCs w:val="22"/>
        </w:rPr>
        <w:t>Generell utdanningsplan</w:t>
      </w:r>
    </w:p>
    <w:p w:rsidR="007F0D42" w:rsidRPr="007F0D42" w:rsidRDefault="007F0D42">
      <w:pPr>
        <w:rPr>
          <w:rFonts w:ascii="Calibri" w:hAnsi="Calibri" w:cs="Calibri"/>
          <w:sz w:val="22"/>
          <w:szCs w:val="22"/>
        </w:rPr>
      </w:pPr>
      <w:r>
        <w:rPr>
          <w:rFonts w:ascii="Calibri" w:hAnsi="Calibri" w:cs="Calibri"/>
          <w:sz w:val="22"/>
          <w:szCs w:val="22"/>
        </w:rPr>
        <w:t xml:space="preserve">Internundervisningens struktur skal beskrives i utdanningsinstitusjonens </w:t>
      </w:r>
      <w:hyperlink r:id="rId7" w:history="1">
        <w:r w:rsidRPr="007F0D42">
          <w:rPr>
            <w:rStyle w:val="Hyperkobling"/>
            <w:rFonts w:asciiTheme="minorHAnsi" w:hAnsiTheme="minorHAnsi" w:cstheme="minorHAnsi"/>
            <w:color w:val="0070C0"/>
            <w:sz w:val="22"/>
            <w:szCs w:val="22"/>
          </w:rPr>
          <w:t>generelle utdanningsplan</w:t>
        </w:r>
      </w:hyperlink>
      <w:r>
        <w:rPr>
          <w:rFonts w:ascii="Calibri" w:hAnsi="Calibri" w:cs="Calibri"/>
          <w:sz w:val="22"/>
          <w:szCs w:val="22"/>
        </w:rPr>
        <w:t xml:space="preserve">. </w:t>
      </w:r>
    </w:p>
    <w:p w:rsidR="007F0D42" w:rsidRDefault="007F0D42">
      <w:pPr>
        <w:rPr>
          <w:rFonts w:ascii="Calibri" w:hAnsi="Calibri" w:cs="Calibri"/>
          <w:sz w:val="22"/>
          <w:szCs w:val="22"/>
        </w:rPr>
      </w:pPr>
    </w:p>
    <w:p w:rsidR="00543D20" w:rsidRPr="00527BDD" w:rsidRDefault="00527BDD">
      <w:pPr>
        <w:rPr>
          <w:rFonts w:ascii="Calibri" w:hAnsi="Calibri" w:cs="Calibri"/>
          <w:sz w:val="22"/>
          <w:szCs w:val="22"/>
        </w:rPr>
      </w:pPr>
      <w:r w:rsidRPr="00527BDD">
        <w:rPr>
          <w:rFonts w:ascii="Calibri" w:hAnsi="Calibri" w:cs="Calibri"/>
          <w:sz w:val="22"/>
          <w:szCs w:val="22"/>
        </w:rPr>
        <w:t>Langtidsplan for teoriundervisning som sikrer strukturert og planmessig gjennomgang av sentrale emner i faget over en periode på 2-3 år må også utarbeides og vedlegges årlig rapport.</w:t>
      </w:r>
    </w:p>
    <w:p w:rsidR="00527BDD" w:rsidRPr="00527BDD" w:rsidRDefault="00527BDD">
      <w:pPr>
        <w:rPr>
          <w:rFonts w:ascii="Calibri" w:hAnsi="Calibri" w:cs="Calibri"/>
          <w:sz w:val="22"/>
          <w:szCs w:val="22"/>
        </w:rPr>
      </w:pPr>
    </w:p>
    <w:p w:rsidR="00543D20" w:rsidRPr="00795EAC" w:rsidRDefault="00543D20">
      <w:pPr>
        <w:rPr>
          <w:rFonts w:ascii="Calibri" w:hAnsi="Calibri" w:cs="Calibri"/>
          <w:sz w:val="22"/>
          <w:szCs w:val="22"/>
        </w:rPr>
      </w:pPr>
      <w:r>
        <w:rPr>
          <w:rFonts w:ascii="Calibri" w:hAnsi="Calibri" w:cs="Calibri"/>
          <w:sz w:val="22"/>
          <w:szCs w:val="22"/>
        </w:rPr>
        <w:t xml:space="preserve">Begge program anses som vedlegg til utdanningsinstitusjonens </w:t>
      </w:r>
      <w:r w:rsidRPr="00543D20">
        <w:rPr>
          <w:rFonts w:asciiTheme="minorHAnsi" w:hAnsiTheme="minorHAnsi" w:cstheme="minorHAnsi"/>
          <w:sz w:val="22"/>
          <w:szCs w:val="22"/>
        </w:rPr>
        <w:t>generelle utdanningsplan</w:t>
      </w:r>
      <w:r w:rsidRPr="00543D20">
        <w:rPr>
          <w:rFonts w:ascii="Calibri" w:hAnsi="Calibri" w:cs="Calibri"/>
          <w:sz w:val="22"/>
          <w:szCs w:val="22"/>
        </w:rPr>
        <w:t>.</w:t>
      </w:r>
    </w:p>
    <w:p w:rsidR="00F73B04" w:rsidRDefault="00F73B04">
      <w:pPr>
        <w:rPr>
          <w:rFonts w:ascii="Calibri" w:hAnsi="Calibri" w:cs="Calibri"/>
          <w:sz w:val="22"/>
          <w:szCs w:val="22"/>
        </w:rPr>
      </w:pPr>
    </w:p>
    <w:p w:rsidR="00543D20" w:rsidRPr="00795EAC" w:rsidRDefault="00543D20">
      <w:pPr>
        <w:rPr>
          <w:rFonts w:ascii="Calibri" w:hAnsi="Calibri" w:cs="Calibri"/>
          <w:sz w:val="22"/>
          <w:szCs w:val="22"/>
        </w:rPr>
      </w:pPr>
      <w:bookmarkStart w:id="0" w:name="_GoBack"/>
      <w:bookmarkEnd w:id="0"/>
    </w:p>
    <w:p w:rsidR="00502DE4" w:rsidRPr="00795EAC" w:rsidRDefault="00F73B04">
      <w:pPr>
        <w:rPr>
          <w:rFonts w:ascii="Calibri" w:hAnsi="Calibri" w:cs="Calibri"/>
          <w:b/>
          <w:sz w:val="22"/>
          <w:szCs w:val="22"/>
        </w:rPr>
      </w:pPr>
      <w:r w:rsidRPr="00795EAC">
        <w:rPr>
          <w:rFonts w:ascii="Calibri" w:hAnsi="Calibri" w:cs="Calibri"/>
          <w:b/>
          <w:sz w:val="22"/>
          <w:szCs w:val="22"/>
        </w:rPr>
        <w:t>Regelverk</w:t>
      </w:r>
    </w:p>
    <w:p w:rsidR="00502DE4" w:rsidRPr="00795EAC" w:rsidRDefault="00F73B04" w:rsidP="00502DE4">
      <w:pPr>
        <w:rPr>
          <w:rFonts w:ascii="Calibri" w:hAnsi="Calibri" w:cs="Calibri"/>
          <w:i/>
          <w:sz w:val="23"/>
        </w:rPr>
      </w:pPr>
      <w:r w:rsidRPr="00795EAC">
        <w:rPr>
          <w:rFonts w:ascii="Calibri" w:hAnsi="Calibri" w:cs="Calibri"/>
          <w:sz w:val="23"/>
        </w:rPr>
        <w:t>S</w:t>
      </w:r>
      <w:r w:rsidR="00502DE4" w:rsidRPr="00795EAC">
        <w:rPr>
          <w:rFonts w:ascii="Calibri" w:hAnsi="Calibri" w:cs="Calibri"/>
          <w:sz w:val="23"/>
        </w:rPr>
        <w:t xml:space="preserve">pesialistreglenes </w:t>
      </w:r>
      <w:hyperlink r:id="rId8" w:history="1">
        <w:r w:rsidR="00502DE4" w:rsidRPr="00795EAC">
          <w:rPr>
            <w:rStyle w:val="Hyperkobling"/>
            <w:rFonts w:ascii="Calibri" w:hAnsi="Calibri" w:cs="Calibri"/>
            <w:color w:val="0070C0"/>
            <w:sz w:val="23"/>
            <w:szCs w:val="23"/>
          </w:rPr>
          <w:t>generelle bestemmelser</w:t>
        </w:r>
      </w:hyperlink>
      <w:r w:rsidR="00502DE4" w:rsidRPr="00795EAC">
        <w:rPr>
          <w:rFonts w:ascii="Calibri" w:hAnsi="Calibri" w:cs="Calibri"/>
          <w:sz w:val="23"/>
        </w:rPr>
        <w:t xml:space="preserve"> § 8 </w:t>
      </w:r>
      <w:r w:rsidRPr="00795EAC">
        <w:rPr>
          <w:rFonts w:ascii="Calibri" w:hAnsi="Calibri" w:cs="Calibri"/>
          <w:sz w:val="23"/>
        </w:rPr>
        <w:t xml:space="preserve">sier </w:t>
      </w:r>
      <w:r w:rsidR="00502DE4" w:rsidRPr="00795EAC">
        <w:rPr>
          <w:rFonts w:ascii="Calibri" w:hAnsi="Calibri" w:cs="Calibri"/>
          <w:sz w:val="23"/>
        </w:rPr>
        <w:t xml:space="preserve">at </w:t>
      </w:r>
      <w:r w:rsidR="00502DE4" w:rsidRPr="00795EAC">
        <w:rPr>
          <w:rFonts w:ascii="Calibri" w:hAnsi="Calibri" w:cs="Calibri"/>
          <w:i/>
          <w:sz w:val="23"/>
        </w:rPr>
        <w:t>Enhver godkjent utdanningsavdeling er forpliktet til å ha strukturert undervisning i tilknytning til kli</w:t>
      </w:r>
      <w:r w:rsidR="00502DE4" w:rsidRPr="00795EAC">
        <w:rPr>
          <w:rFonts w:ascii="Calibri" w:hAnsi="Calibri" w:cs="Calibri"/>
          <w:i/>
          <w:sz w:val="23"/>
        </w:rPr>
        <w:softHyphen/>
        <w:t>nikken på minimum 2 undervisningstimer pr. uke. Internundervisningen skal bidra til den faglige utvik</w:t>
      </w:r>
      <w:r w:rsidR="00502DE4" w:rsidRPr="00795EAC">
        <w:rPr>
          <w:rFonts w:ascii="Calibri" w:hAnsi="Calibri" w:cs="Calibri"/>
          <w:i/>
          <w:sz w:val="23"/>
        </w:rPr>
        <w:softHyphen/>
        <w:t>ling for alle avdelingens leger og skal i særlig grad ivareta behovet for å gi leger i spesialisering nød</w:t>
      </w:r>
      <w:r w:rsidR="00502DE4" w:rsidRPr="00795EAC">
        <w:rPr>
          <w:rFonts w:ascii="Calibri" w:hAnsi="Calibri" w:cs="Calibri"/>
          <w:i/>
          <w:sz w:val="23"/>
        </w:rPr>
        <w:softHyphen/>
        <w:t>vendig teoretisk bakgrunn for avdelingens virksom</w:t>
      </w:r>
      <w:r w:rsidR="00502DE4" w:rsidRPr="00795EAC">
        <w:rPr>
          <w:rFonts w:ascii="Calibri" w:hAnsi="Calibri" w:cs="Calibri"/>
          <w:i/>
          <w:sz w:val="23"/>
        </w:rPr>
        <w:softHyphen/>
        <w:t>het.</w:t>
      </w:r>
    </w:p>
    <w:p w:rsidR="00502DE4" w:rsidRPr="00795EAC" w:rsidRDefault="00502DE4" w:rsidP="00502DE4">
      <w:pPr>
        <w:rPr>
          <w:rFonts w:ascii="Calibri" w:hAnsi="Calibri" w:cs="Calibri"/>
          <w:sz w:val="23"/>
        </w:rPr>
      </w:pPr>
      <w:r w:rsidRPr="00795EAC">
        <w:rPr>
          <w:rFonts w:ascii="Calibri" w:hAnsi="Calibri" w:cs="Calibri"/>
          <w:i/>
          <w:sz w:val="23"/>
        </w:rPr>
        <w:t>Leger i spesialisering forutsettes å ta aktiv del i undervisningen. Deltakelse i undervisningsprogram</w:t>
      </w:r>
      <w:r w:rsidRPr="00795EAC">
        <w:rPr>
          <w:rFonts w:ascii="Calibri" w:hAnsi="Calibri" w:cs="Calibri"/>
          <w:i/>
          <w:sz w:val="23"/>
        </w:rPr>
        <w:softHyphen/>
        <w:t>met er obligatorisk og skal inngå i legenes tjeneste</w:t>
      </w:r>
      <w:r w:rsidRPr="00795EAC">
        <w:rPr>
          <w:rFonts w:ascii="Calibri" w:hAnsi="Calibri" w:cs="Calibri"/>
          <w:i/>
          <w:sz w:val="23"/>
        </w:rPr>
        <w:softHyphen/>
        <w:t>planer</w:t>
      </w:r>
      <w:r w:rsidRPr="00795EAC">
        <w:rPr>
          <w:rFonts w:ascii="Calibri" w:hAnsi="Calibri" w:cs="Calibri"/>
          <w:sz w:val="23"/>
        </w:rPr>
        <w:t>.</w:t>
      </w:r>
    </w:p>
    <w:p w:rsidR="00502DE4" w:rsidRPr="00795EAC" w:rsidRDefault="00502DE4" w:rsidP="00502DE4">
      <w:pPr>
        <w:tabs>
          <w:tab w:val="left" w:pos="-1440"/>
          <w:tab w:val="left" w:pos="-720"/>
          <w:tab w:val="left" w:pos="0"/>
          <w:tab w:val="left" w:pos="3600"/>
          <w:tab w:val="right" w:pos="8931"/>
          <w:tab w:val="left" w:pos="9360"/>
        </w:tabs>
        <w:suppressAutoHyphens/>
        <w:rPr>
          <w:rFonts w:ascii="Calibri" w:hAnsi="Calibri" w:cs="Calibri"/>
          <w:sz w:val="23"/>
        </w:rPr>
      </w:pPr>
    </w:p>
    <w:p w:rsidR="00502DE4" w:rsidRPr="00795EAC" w:rsidRDefault="00527BDD" w:rsidP="00502DE4">
      <w:pPr>
        <w:rPr>
          <w:rFonts w:ascii="Calibri" w:hAnsi="Calibri" w:cs="Calibri"/>
          <w:color w:val="333333"/>
          <w:sz w:val="23"/>
          <w:szCs w:val="23"/>
        </w:rPr>
      </w:pPr>
      <w:hyperlink r:id="rId9" w:anchor="KAPITTEL_3" w:history="1">
        <w:r w:rsidR="00502DE4" w:rsidRPr="00795EAC">
          <w:rPr>
            <w:rStyle w:val="Hyperkobling"/>
            <w:rFonts w:ascii="Calibri" w:hAnsi="Calibri" w:cs="Calibri"/>
            <w:bCs/>
            <w:color w:val="0070C0"/>
            <w:sz w:val="23"/>
            <w:szCs w:val="23"/>
          </w:rPr>
          <w:t>Lov om spesialisthelsetjenester</w:t>
        </w:r>
      </w:hyperlink>
      <w:r w:rsidR="00502DE4" w:rsidRPr="00795EAC">
        <w:rPr>
          <w:rFonts w:ascii="Calibri" w:hAnsi="Calibri" w:cs="Calibri"/>
          <w:b/>
          <w:bCs/>
          <w:color w:val="0070C0"/>
          <w:sz w:val="23"/>
          <w:szCs w:val="23"/>
        </w:rPr>
        <w:t>,</w:t>
      </w:r>
      <w:r w:rsidR="00502DE4" w:rsidRPr="00795EAC">
        <w:rPr>
          <w:rFonts w:ascii="Calibri" w:hAnsi="Calibri" w:cs="Calibri"/>
          <w:b/>
          <w:bCs/>
          <w:sz w:val="23"/>
          <w:szCs w:val="23"/>
        </w:rPr>
        <w:t xml:space="preserve"> </w:t>
      </w:r>
      <w:r w:rsidR="00502DE4" w:rsidRPr="00795EAC">
        <w:rPr>
          <w:rFonts w:ascii="Calibri" w:hAnsi="Calibri" w:cs="Calibri"/>
          <w:color w:val="333333"/>
          <w:sz w:val="23"/>
          <w:szCs w:val="23"/>
        </w:rPr>
        <w:t xml:space="preserve">§ 3-10. </w:t>
      </w:r>
      <w:r w:rsidR="00502DE4" w:rsidRPr="00795EAC">
        <w:rPr>
          <w:rFonts w:ascii="Calibri" w:hAnsi="Calibri" w:cs="Calibri"/>
          <w:i/>
          <w:iCs/>
          <w:color w:val="333333"/>
          <w:sz w:val="23"/>
          <w:szCs w:val="23"/>
        </w:rPr>
        <w:t>Opplæring, etterutdanning og videreutdanning</w:t>
      </w:r>
    </w:p>
    <w:p w:rsidR="00502DE4" w:rsidRPr="00795EAC" w:rsidRDefault="00502DE4" w:rsidP="00502DE4">
      <w:pPr>
        <w:shd w:val="clear" w:color="auto" w:fill="FFFFFF"/>
        <w:spacing w:after="158" w:line="330" w:lineRule="atLeast"/>
        <w:rPr>
          <w:rFonts w:ascii="Calibri" w:hAnsi="Calibri" w:cs="Calibri"/>
          <w:sz w:val="23"/>
          <w:szCs w:val="23"/>
          <w:lang w:eastAsia="en-US"/>
        </w:rPr>
      </w:pPr>
      <w:r w:rsidRPr="00795EAC">
        <w:rPr>
          <w:rFonts w:ascii="Calibri" w:hAnsi="Calibri" w:cs="Calibri"/>
          <w:color w:val="333333"/>
          <w:sz w:val="23"/>
          <w:szCs w:val="23"/>
        </w:rPr>
        <w:t>Virksomheter som yter helsetjenester som omfattes av denne loven, skal sørge for at ansatt helsepersonell gis slik opplæring, etterutdanning og videreutdanning som er påkrevet for at den enkelte skal kunne utføre sitt arbeid forsvarlig.</w:t>
      </w:r>
      <w:r w:rsidRPr="00795EAC">
        <w:rPr>
          <w:rFonts w:ascii="Calibri" w:hAnsi="Calibri" w:cs="Calibri"/>
          <w:sz w:val="23"/>
          <w:szCs w:val="23"/>
        </w:rPr>
        <w:t xml:space="preserve"> </w:t>
      </w:r>
    </w:p>
    <w:sectPr w:rsidR="00502DE4" w:rsidRPr="00795EAC" w:rsidSect="00D2403E">
      <w:pgSz w:w="11906" w:h="16838"/>
      <w:pgMar w:top="720" w:right="720" w:bottom="720" w:left="72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C9F"/>
    <w:rsid w:val="00002ADC"/>
    <w:rsid w:val="00035AF5"/>
    <w:rsid w:val="00422D54"/>
    <w:rsid w:val="0045119B"/>
    <w:rsid w:val="00496DA8"/>
    <w:rsid w:val="004B74DD"/>
    <w:rsid w:val="00502DE4"/>
    <w:rsid w:val="00522E18"/>
    <w:rsid w:val="00527BDD"/>
    <w:rsid w:val="00543D20"/>
    <w:rsid w:val="00564F56"/>
    <w:rsid w:val="00627713"/>
    <w:rsid w:val="00654AAF"/>
    <w:rsid w:val="006A109D"/>
    <w:rsid w:val="00795EAC"/>
    <w:rsid w:val="007F0D42"/>
    <w:rsid w:val="00943C5F"/>
    <w:rsid w:val="00980338"/>
    <w:rsid w:val="009A7C9F"/>
    <w:rsid w:val="009D7F3F"/>
    <w:rsid w:val="009E08E4"/>
    <w:rsid w:val="009F77CD"/>
    <w:rsid w:val="00A30212"/>
    <w:rsid w:val="00B027DA"/>
    <w:rsid w:val="00B06CDA"/>
    <w:rsid w:val="00BB65D9"/>
    <w:rsid w:val="00BC3939"/>
    <w:rsid w:val="00D2403E"/>
    <w:rsid w:val="00E45966"/>
    <w:rsid w:val="00E669A2"/>
    <w:rsid w:val="00EF0992"/>
    <w:rsid w:val="00F54369"/>
    <w:rsid w:val="00F73B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Overskrift1">
    <w:name w:val="heading 1"/>
    <w:basedOn w:val="Normal"/>
    <w:next w:val="Normal"/>
    <w:qFormat/>
    <w:pPr>
      <w:keepNext/>
      <w:spacing w:before="240" w:after="60"/>
      <w:outlineLvl w:val="0"/>
    </w:pPr>
    <w:rPr>
      <w:rFonts w:ascii="Arial" w:hAnsi="Arial"/>
      <w:b/>
      <w:kern w:val="28"/>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il1">
    <w:name w:val="Stil1"/>
    <w:basedOn w:val="Overskrift1"/>
    <w:autoRedefine/>
    <w:rPr>
      <w:rFonts w:ascii="Times New Roman" w:hAnsi="Times New Roman"/>
    </w:rPr>
  </w:style>
  <w:style w:type="table" w:styleId="Tabellrutenett">
    <w:name w:val="Table Grid"/>
    <w:basedOn w:val="Vanligtabell"/>
    <w:rsid w:val="009D7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rsid w:val="006A109D"/>
    <w:rPr>
      <w:color w:val="0000FF"/>
      <w:u w:val="single"/>
    </w:rPr>
  </w:style>
  <w:style w:type="character" w:styleId="Fulgthyperkobling">
    <w:name w:val="FollowedHyperlink"/>
    <w:rsid w:val="006A109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Overskrift1">
    <w:name w:val="heading 1"/>
    <w:basedOn w:val="Normal"/>
    <w:next w:val="Normal"/>
    <w:qFormat/>
    <w:pPr>
      <w:keepNext/>
      <w:spacing w:before="240" w:after="60"/>
      <w:outlineLvl w:val="0"/>
    </w:pPr>
    <w:rPr>
      <w:rFonts w:ascii="Arial" w:hAnsi="Arial"/>
      <w:b/>
      <w:kern w:val="28"/>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il1">
    <w:name w:val="Stil1"/>
    <w:basedOn w:val="Overskrift1"/>
    <w:autoRedefine/>
    <w:rPr>
      <w:rFonts w:ascii="Times New Roman" w:hAnsi="Times New Roman"/>
    </w:rPr>
  </w:style>
  <w:style w:type="table" w:styleId="Tabellrutenett">
    <w:name w:val="Table Grid"/>
    <w:basedOn w:val="Vanligtabell"/>
    <w:rsid w:val="009D7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rsid w:val="006A109D"/>
    <w:rPr>
      <w:color w:val="0000FF"/>
      <w:u w:val="single"/>
    </w:rPr>
  </w:style>
  <w:style w:type="character" w:styleId="Fulgthyperkobling">
    <w:name w:val="FollowedHyperlink"/>
    <w:rsid w:val="006A10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eforeningen.no/Emner/Andre-emner/Spesialistutdanning/Spesialisering/generelle-bestemmelser-for-spesialistutdanning-av-leger/" TargetMode="External"/><Relationship Id="rId3" Type="http://schemas.openxmlformats.org/officeDocument/2006/relationships/settings" Target="settings.xml"/><Relationship Id="rId7" Type="http://schemas.openxmlformats.org/officeDocument/2006/relationships/hyperlink" Target="https://legeforeningen.no/Emner/Andre-emner/Spesialistutdanning/Utdanningsinstitusjoner/mal-for-avdelingensseksjonens-generelle-utdanningspla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erus.no/serus/index.gan;jsessionid=DBBE8D6BAE508C663337316A1226E167" TargetMode="External"/><Relationship Id="rId11" Type="http://schemas.openxmlformats.org/officeDocument/2006/relationships/theme" Target="theme/theme1.xml"/><Relationship Id="rId5" Type="http://schemas.openxmlformats.org/officeDocument/2006/relationships/hyperlink" Target="http://legeforeningen.no/Emner/Andre-emner/Spesialistutdanning/Spesialisering/generelle-bestemmelser-for-spesialistutdanning-av-leg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ovdata.no/dokument/NL/lov/1999-07-02-61?q=lov+om+spesialisthelsetjenes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787837C5</Template>
  <TotalTime>21</TotalTime>
  <Pages>1</Pages>
  <Words>351</Words>
  <Characters>3039</Characters>
  <Application>Microsoft Office Word</Application>
  <DocSecurity>0</DocSecurity>
  <Lines>25</Lines>
  <Paragraphs>6</Paragraphs>
  <ScaleCrop>false</ScaleCrop>
  <HeadingPairs>
    <vt:vector size="2" baseType="variant">
      <vt:variant>
        <vt:lpstr>Tittel</vt:lpstr>
      </vt:variant>
      <vt:variant>
        <vt:i4>1</vt:i4>
      </vt:variant>
    </vt:vector>
  </HeadingPairs>
  <TitlesOfParts>
    <vt:vector size="1" baseType="lpstr">
      <vt:lpstr>Mal for program/emneliste for teoretisk undervisning i spesialistutdanningen</vt:lpstr>
    </vt:vector>
  </TitlesOfParts>
  <Company>Den norske lægeforening</Company>
  <LinksUpToDate>false</LinksUpToDate>
  <CharactersWithSpaces>3384</CharactersWithSpaces>
  <SharedDoc>false</SharedDoc>
  <HLinks>
    <vt:vector size="24" baseType="variant">
      <vt:variant>
        <vt:i4>5374013</vt:i4>
      </vt:variant>
      <vt:variant>
        <vt:i4>9</vt:i4>
      </vt:variant>
      <vt:variant>
        <vt:i4>0</vt:i4>
      </vt:variant>
      <vt:variant>
        <vt:i4>5</vt:i4>
      </vt:variant>
      <vt:variant>
        <vt:lpwstr>http://lovdata.no/dokument/NL/lov/1999-07-02-61?q=lov+om+spesialisthelsetjenester*</vt:lpwstr>
      </vt:variant>
      <vt:variant>
        <vt:lpwstr>KAPITTEL_3</vt:lpwstr>
      </vt:variant>
      <vt:variant>
        <vt:i4>6815859</vt:i4>
      </vt:variant>
      <vt:variant>
        <vt:i4>6</vt:i4>
      </vt:variant>
      <vt:variant>
        <vt:i4>0</vt:i4>
      </vt:variant>
      <vt:variant>
        <vt:i4>5</vt:i4>
      </vt:variant>
      <vt:variant>
        <vt:lpwstr>http://legeforeningen.no/Emner/Andre-emner/Spesialistutdanning/Spesialisering/generelle-bestemmelser-for-spesialistutdanning-av-leger/</vt:lpwstr>
      </vt:variant>
      <vt:variant>
        <vt:lpwstr/>
      </vt:variant>
      <vt:variant>
        <vt:i4>3932200</vt:i4>
      </vt:variant>
      <vt:variant>
        <vt:i4>3</vt:i4>
      </vt:variant>
      <vt:variant>
        <vt:i4>0</vt:i4>
      </vt:variant>
      <vt:variant>
        <vt:i4>5</vt:i4>
      </vt:variant>
      <vt:variant>
        <vt:lpwstr>http://www.serus.no/serus/index.gan;jsessionid=DBBE8D6BAE508C663337316A1226E167</vt:lpwstr>
      </vt:variant>
      <vt:variant>
        <vt:lpwstr/>
      </vt:variant>
      <vt:variant>
        <vt:i4>6815859</vt:i4>
      </vt:variant>
      <vt:variant>
        <vt:i4>0</vt:i4>
      </vt:variant>
      <vt:variant>
        <vt:i4>0</vt:i4>
      </vt:variant>
      <vt:variant>
        <vt:i4>5</vt:i4>
      </vt:variant>
      <vt:variant>
        <vt:lpwstr>http://legeforeningen.no/Emner/Andre-emner/Spesialistutdanning/Spesialisering/generelle-bestemmelser-for-spesialistutdanning-av-leger/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program/emneliste for teoretisk undervisning i spesialistutdanningen</dc:title>
  <dc:creator>ivaagesk</dc:creator>
  <cp:lastModifiedBy>Ingunn Muus Vågeskar</cp:lastModifiedBy>
  <cp:revision>4</cp:revision>
  <dcterms:created xsi:type="dcterms:W3CDTF">2014-04-10T08:46:00Z</dcterms:created>
  <dcterms:modified xsi:type="dcterms:W3CDTF">2015-11-24T16:31:00Z</dcterms:modified>
</cp:coreProperties>
</file>