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BB" w:rsidRDefault="006E344D" w:rsidP="000D67BB">
      <w:pPr>
        <w:spacing w:after="200" w:line="276" w:lineRule="auto"/>
        <w:rPr>
          <w:rFonts w:eastAsia="Calibri" w:cs="Arial"/>
          <w:b/>
          <w:sz w:val="32"/>
          <w:szCs w:val="32"/>
        </w:rPr>
      </w:pPr>
      <w:bookmarkStart w:id="0" w:name="_GoBack"/>
      <w:bookmarkEnd w:id="0"/>
      <w:r>
        <w:rPr>
          <w:rFonts w:eastAsia="Calibri" w:cs="Arial"/>
          <w:b/>
          <w:sz w:val="32"/>
          <w:szCs w:val="32"/>
        </w:rPr>
        <w:t>Ekstern</w:t>
      </w:r>
      <w:r w:rsidR="000D67BB">
        <w:rPr>
          <w:rFonts w:eastAsia="Calibri" w:cs="Arial"/>
          <w:b/>
          <w:sz w:val="32"/>
          <w:szCs w:val="32"/>
        </w:rPr>
        <w:t xml:space="preserve"> høring –</w:t>
      </w:r>
      <w:r w:rsidR="004A66DA">
        <w:rPr>
          <w:rFonts w:eastAsia="Calibri" w:cs="Arial"/>
          <w:b/>
          <w:sz w:val="32"/>
          <w:szCs w:val="32"/>
        </w:rPr>
        <w:t xml:space="preserve"> </w:t>
      </w:r>
      <w:r w:rsidR="000D67BB">
        <w:rPr>
          <w:rFonts w:eastAsia="Calibri" w:cs="Arial"/>
          <w:b/>
          <w:sz w:val="32"/>
          <w:szCs w:val="32"/>
        </w:rPr>
        <w:t xml:space="preserve">Pakkeforløp hjerneslag </w:t>
      </w:r>
      <w:r>
        <w:rPr>
          <w:rFonts w:eastAsia="Calibri" w:cs="Arial"/>
          <w:b/>
          <w:sz w:val="32"/>
          <w:szCs w:val="32"/>
        </w:rPr>
        <w:t>(fase 1)</w:t>
      </w:r>
    </w:p>
    <w:p w:rsidR="000D67BB" w:rsidRDefault="000D67BB" w:rsidP="000D67BB">
      <w:pPr>
        <w:rPr>
          <w:b/>
        </w:rPr>
      </w:pPr>
    </w:p>
    <w:p w:rsidR="000D67BB" w:rsidRDefault="00542A6C" w:rsidP="00542A6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Tilbakemeldingsskjema</w:t>
      </w:r>
    </w:p>
    <w:p w:rsidR="000D67BB" w:rsidRDefault="000D67BB" w:rsidP="000D67B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126"/>
        <w:gridCol w:w="5778"/>
      </w:tblGrid>
      <w:tr w:rsidR="000D67BB" w:rsidTr="00542A6C">
        <w:tc>
          <w:tcPr>
            <w:tcW w:w="1384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BB" w:rsidRPr="00542A6C" w:rsidRDefault="000D67BB">
            <w:pPr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 xml:space="preserve">Navn: </w:t>
            </w:r>
          </w:p>
        </w:tc>
        <w:tc>
          <w:tcPr>
            <w:tcW w:w="577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</w:tcPr>
          <w:p w:rsidR="000D67BB" w:rsidRPr="00542A6C" w:rsidRDefault="000D67BB">
            <w:pPr>
              <w:rPr>
                <w:b/>
                <w:sz w:val="20"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BB" w:rsidRPr="00542A6C" w:rsidRDefault="000D67BB">
            <w:pPr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BB" w:rsidRPr="00542A6C" w:rsidRDefault="00AD207C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Høringsinstans</w:t>
            </w:r>
            <w:r w:rsidR="000D67BB" w:rsidRPr="00542A6C">
              <w:rPr>
                <w:b/>
                <w:sz w:val="20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</w:tcPr>
          <w:p w:rsidR="000D67BB" w:rsidRPr="00542A6C" w:rsidRDefault="00E660C5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Legeforeningen</w:t>
            </w:r>
          </w:p>
          <w:p w:rsidR="00AD207C" w:rsidRPr="00542A6C" w:rsidRDefault="00AD207C">
            <w:pPr>
              <w:rPr>
                <w:b/>
                <w:sz w:val="20"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6A6A6"/>
            <w:hideMark/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Kommentar</w:t>
            </w:r>
          </w:p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nummer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6A6A6"/>
            <w:hideMark/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Kapittel /spørsmål: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/>
            <w:hideMark/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Kommentarer:</w:t>
            </w:r>
          </w:p>
        </w:tc>
      </w:tr>
      <w:tr w:rsidR="000D67BB" w:rsidTr="00542A6C">
        <w:tc>
          <w:tcPr>
            <w:tcW w:w="1384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B" w:rsidRDefault="000D67BB">
            <w:pPr>
              <w:rPr>
                <w:b/>
                <w:sz w:val="20"/>
              </w:rPr>
            </w:pPr>
            <w:r w:rsidRPr="000D67BB">
              <w:rPr>
                <w:b/>
                <w:sz w:val="20"/>
              </w:rPr>
              <w:t>Om pakkeforløpet</w:t>
            </w:r>
          </w:p>
          <w:p w:rsidR="0080397A" w:rsidRDefault="0080397A">
            <w:pPr>
              <w:rPr>
                <w:b/>
                <w:sz w:val="20"/>
              </w:rPr>
            </w:pPr>
          </w:p>
          <w:p w:rsidR="007B77F2" w:rsidRDefault="007B77F2">
            <w:pPr>
              <w:rPr>
                <w:b/>
                <w:sz w:val="20"/>
              </w:rPr>
            </w:pPr>
          </w:p>
          <w:p w:rsidR="007B77F2" w:rsidRPr="000D67BB" w:rsidRDefault="007B77F2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B4E7F" w:rsidRDefault="0061706E">
            <w:pPr>
              <w:rPr>
                <w:sz w:val="20"/>
              </w:rPr>
            </w:pPr>
            <w:r>
              <w:rPr>
                <w:sz w:val="20"/>
              </w:rPr>
              <w:t xml:space="preserve">Høringen har </w:t>
            </w:r>
            <w:r w:rsidR="00FB4E7F">
              <w:rPr>
                <w:sz w:val="20"/>
              </w:rPr>
              <w:t>vært litt vanskelig å svare på av flere grunner:</w:t>
            </w:r>
            <w:r>
              <w:rPr>
                <w:sz w:val="20"/>
              </w:rPr>
              <w:t xml:space="preserve"> i)</w:t>
            </w:r>
            <w:r w:rsidR="00FB4E7F">
              <w:rPr>
                <w:sz w:val="20"/>
              </w:rPr>
              <w:t xml:space="preserve"> h</w:t>
            </w:r>
            <w:r w:rsidR="000F2E4F">
              <w:rPr>
                <w:sz w:val="20"/>
              </w:rPr>
              <w:t>øringsdokumentene er lite klar på hva som er fase 1 og fase 2 av forløpet</w:t>
            </w:r>
            <w:r w:rsidR="00FB4E7F">
              <w:rPr>
                <w:sz w:val="20"/>
              </w:rPr>
              <w:t xml:space="preserve"> og hvilke elementer av spesialisert rehabilitering som inngår i hvilken fase, ii) i tillegg til beskrivels</w:t>
            </w:r>
            <w:r w:rsidR="00872905">
              <w:rPr>
                <w:sz w:val="20"/>
              </w:rPr>
              <w:t>e av fase 1 presenterer hørings</w:t>
            </w:r>
            <w:r w:rsidR="00FB4E7F">
              <w:rPr>
                <w:sz w:val="20"/>
              </w:rPr>
              <w:t>dokumentene også tanker om videre arbeid</w:t>
            </w:r>
            <w:r w:rsidR="00097545">
              <w:rPr>
                <w:sz w:val="20"/>
              </w:rPr>
              <w:t xml:space="preserve"> (fase 2 og fase 3)</w:t>
            </w:r>
            <w:r w:rsidR="00FB4E7F">
              <w:rPr>
                <w:sz w:val="20"/>
              </w:rPr>
              <w:t xml:space="preserve">, iii) </w:t>
            </w:r>
            <w:r w:rsidR="00097545">
              <w:rPr>
                <w:sz w:val="20"/>
              </w:rPr>
              <w:t xml:space="preserve">i fravær av ny retningslinje </w:t>
            </w:r>
            <w:r w:rsidR="00FB4E7F">
              <w:rPr>
                <w:sz w:val="20"/>
              </w:rPr>
              <w:t xml:space="preserve">har </w:t>
            </w:r>
            <w:r w:rsidR="00097545">
              <w:rPr>
                <w:sz w:val="20"/>
              </w:rPr>
              <w:t xml:space="preserve">det </w:t>
            </w:r>
            <w:r w:rsidR="00FB4E7F">
              <w:rPr>
                <w:sz w:val="20"/>
              </w:rPr>
              <w:t>vært vanskelig</w:t>
            </w:r>
            <w:r w:rsidR="00097545">
              <w:rPr>
                <w:sz w:val="20"/>
              </w:rPr>
              <w:t xml:space="preserve"> å vite hvilke referanser pakkeforløpet støtter seg på.</w:t>
            </w:r>
            <w:r w:rsidR="00FB4E7F">
              <w:rPr>
                <w:sz w:val="20"/>
              </w:rPr>
              <w:t xml:space="preserve">   </w:t>
            </w:r>
          </w:p>
          <w:p w:rsidR="008F5480" w:rsidRDefault="004E2AA4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F4902" w:rsidRDefault="006F4902" w:rsidP="0061706E">
            <w:pPr>
              <w:rPr>
                <w:sz w:val="20"/>
              </w:rPr>
            </w:pPr>
            <w:r>
              <w:rPr>
                <w:sz w:val="20"/>
              </w:rPr>
              <w:t xml:space="preserve">Norge har en av </w:t>
            </w:r>
            <w:r w:rsidR="00EB4779">
              <w:rPr>
                <w:sz w:val="20"/>
              </w:rPr>
              <w:t>de beste slagbehandlinger i verden.</w:t>
            </w:r>
            <w:r>
              <w:rPr>
                <w:sz w:val="20"/>
              </w:rPr>
              <w:t xml:space="preserve"> En nasjonal standard for planlagte pasientforløp for behandling og rehabilitering av hjerneslag vil kunne </w:t>
            </w:r>
            <w:r w:rsidR="00EB4779">
              <w:rPr>
                <w:sz w:val="20"/>
              </w:rPr>
              <w:t>forbedre behandlings</w:t>
            </w:r>
            <w:r w:rsidR="00C55242">
              <w:rPr>
                <w:sz w:val="20"/>
              </w:rPr>
              <w:t>-</w:t>
            </w:r>
            <w:r w:rsidR="00EB4779">
              <w:rPr>
                <w:sz w:val="20"/>
              </w:rPr>
              <w:t>resultatene ytterligere.</w:t>
            </w:r>
            <w:r>
              <w:rPr>
                <w:sz w:val="20"/>
              </w:rPr>
              <w:t xml:space="preserve">  </w:t>
            </w:r>
          </w:p>
          <w:p w:rsidR="006F4902" w:rsidRDefault="006F4902" w:rsidP="0061706E">
            <w:pPr>
              <w:rPr>
                <w:sz w:val="20"/>
              </w:rPr>
            </w:pPr>
          </w:p>
          <w:p w:rsidR="0061706E" w:rsidRDefault="0061706E" w:rsidP="0061706E">
            <w:pPr>
              <w:rPr>
                <w:sz w:val="20"/>
              </w:rPr>
            </w:pPr>
            <w:r w:rsidRPr="00C25746">
              <w:rPr>
                <w:sz w:val="20"/>
              </w:rPr>
              <w:t>Pakkeforløp</w:t>
            </w:r>
            <w:r>
              <w:rPr>
                <w:sz w:val="20"/>
              </w:rPr>
              <w:t xml:space="preserve"> for hjerneslag blir spesielt viktig for rehabiliterings</w:t>
            </w:r>
            <w:r w:rsidR="00872905">
              <w:rPr>
                <w:sz w:val="20"/>
              </w:rPr>
              <w:t>-</w:t>
            </w:r>
            <w:r>
              <w:rPr>
                <w:sz w:val="20"/>
              </w:rPr>
              <w:t>fasen og for ansvarsfordeling mellom spesialisthelsetjenest</w:t>
            </w:r>
            <w:r w:rsidR="00C55242">
              <w:rPr>
                <w:sz w:val="20"/>
              </w:rPr>
              <w:t>en og kommune i rehabiliterings</w:t>
            </w:r>
            <w:r>
              <w:rPr>
                <w:sz w:val="20"/>
              </w:rPr>
              <w:t>delen av forløpet.</w:t>
            </w:r>
          </w:p>
          <w:p w:rsidR="0061706E" w:rsidRDefault="0061706E">
            <w:pPr>
              <w:rPr>
                <w:sz w:val="20"/>
              </w:rPr>
            </w:pPr>
          </w:p>
          <w:p w:rsidR="008F5480" w:rsidRDefault="000F2E4F">
            <w:pPr>
              <w:rPr>
                <w:sz w:val="20"/>
              </w:rPr>
            </w:pPr>
            <w:r>
              <w:rPr>
                <w:sz w:val="20"/>
              </w:rPr>
              <w:t>Det er behov for tydeligere begrepsavklaring og ansvars</w:t>
            </w:r>
            <w:r w:rsidR="00C55242">
              <w:rPr>
                <w:sz w:val="20"/>
              </w:rPr>
              <w:t>-</w:t>
            </w:r>
            <w:r>
              <w:rPr>
                <w:sz w:val="20"/>
              </w:rPr>
              <w:t xml:space="preserve">avklaring mellom de ulike nivåene innen spesialisert rehabilitering og kommunal rehabilitering. </w:t>
            </w:r>
            <w:r w:rsidR="008F5480">
              <w:rPr>
                <w:sz w:val="20"/>
              </w:rPr>
              <w:t>Det foreslås</w:t>
            </w:r>
            <w:r>
              <w:rPr>
                <w:sz w:val="20"/>
              </w:rPr>
              <w:t xml:space="preserve"> to nivåer av tidlig spes</w:t>
            </w:r>
            <w:r w:rsidR="008F5480">
              <w:rPr>
                <w:sz w:val="20"/>
              </w:rPr>
              <w:t xml:space="preserve">ialisert rehabilitering, behandling i hhv. i) </w:t>
            </w:r>
            <w:r>
              <w:rPr>
                <w:sz w:val="20"/>
              </w:rPr>
              <w:t>rehabiliteringsavdeling i sykehus og ii)</w:t>
            </w:r>
            <w:r w:rsidR="008F5480">
              <w:rPr>
                <w:sz w:val="20"/>
              </w:rPr>
              <w:t xml:space="preserve"> private rehabiliterings</w:t>
            </w:r>
            <w:r w:rsidR="00872905">
              <w:rPr>
                <w:sz w:val="20"/>
              </w:rPr>
              <w:t>-</w:t>
            </w:r>
            <w:r w:rsidR="008F5480">
              <w:rPr>
                <w:sz w:val="20"/>
              </w:rPr>
              <w:t>institusjoner. Benevnelsen "rehabiliteringsavdeling/-institusjon" forslås.</w:t>
            </w:r>
          </w:p>
          <w:p w:rsidR="008F5480" w:rsidRDefault="008F5480">
            <w:pPr>
              <w:rPr>
                <w:sz w:val="20"/>
              </w:rPr>
            </w:pPr>
          </w:p>
          <w:p w:rsidR="008F5480" w:rsidRDefault="008F5480">
            <w:pPr>
              <w:rPr>
                <w:sz w:val="20"/>
              </w:rPr>
            </w:pPr>
            <w:r>
              <w:rPr>
                <w:sz w:val="20"/>
              </w:rPr>
              <w:t>Det anbefales å bruke begrepet "overflytting" om pasienter som overføres t</w:t>
            </w:r>
            <w:r w:rsidR="00872905">
              <w:rPr>
                <w:sz w:val="20"/>
              </w:rPr>
              <w:t>il spesialisert rehabiliterings</w:t>
            </w:r>
            <w:r>
              <w:rPr>
                <w:sz w:val="20"/>
              </w:rPr>
              <w:t>avdeling i sykehus og "utskrivning" om pasienter som overføres til rehabilitering i privat evt. kommunal rehabiliteringsinstitusjon.</w:t>
            </w:r>
          </w:p>
          <w:p w:rsidR="008F5480" w:rsidRDefault="008F5480">
            <w:pPr>
              <w:rPr>
                <w:sz w:val="20"/>
              </w:rPr>
            </w:pPr>
          </w:p>
          <w:p w:rsidR="008F5480" w:rsidRDefault="008F5480">
            <w:pPr>
              <w:rPr>
                <w:sz w:val="20"/>
              </w:rPr>
            </w:pPr>
            <w:r>
              <w:rPr>
                <w:sz w:val="20"/>
              </w:rPr>
              <w:t xml:space="preserve">Det foreslås at begrepet spesialisert rehabilitering knyttes opp mot legespesialist i fysikalsk medisin og rehabilitering.  </w:t>
            </w:r>
          </w:p>
          <w:p w:rsidR="004E2AA4" w:rsidRDefault="004E2AA4">
            <w:pPr>
              <w:rPr>
                <w:sz w:val="20"/>
              </w:rPr>
            </w:pPr>
          </w:p>
          <w:p w:rsidR="004E2AA4" w:rsidRDefault="004E2AA4">
            <w:pPr>
              <w:rPr>
                <w:sz w:val="20"/>
              </w:rPr>
            </w:pPr>
            <w:r>
              <w:rPr>
                <w:sz w:val="20"/>
              </w:rPr>
              <w:t>Pasienter som er under kommunal rehabilitering bør få mulighet til en forny</w:t>
            </w:r>
            <w:r w:rsidR="00872905">
              <w:rPr>
                <w:sz w:val="20"/>
              </w:rPr>
              <w:t>et vurdering av rehabiliterings</w:t>
            </w:r>
            <w:r>
              <w:rPr>
                <w:sz w:val="20"/>
              </w:rPr>
              <w:t xml:space="preserve">potensiale i spesialisthelsetjenesten. </w:t>
            </w:r>
          </w:p>
          <w:p w:rsidR="004E2AA4" w:rsidRDefault="004E2AA4">
            <w:pPr>
              <w:rPr>
                <w:sz w:val="20"/>
              </w:rPr>
            </w:pPr>
          </w:p>
          <w:p w:rsidR="004E2AA4" w:rsidRDefault="004E2AA4">
            <w:pPr>
              <w:rPr>
                <w:sz w:val="20"/>
              </w:rPr>
            </w:pPr>
            <w:r>
              <w:rPr>
                <w:sz w:val="20"/>
              </w:rPr>
              <w:t>Det er behov for en kl</w:t>
            </w:r>
            <w:r w:rsidR="00872905">
              <w:rPr>
                <w:sz w:val="20"/>
              </w:rPr>
              <w:t>arere definisjon av koordinator-</w:t>
            </w:r>
            <w:r>
              <w:rPr>
                <w:sz w:val="20"/>
              </w:rPr>
              <w:t xml:space="preserve">funksjonen.  </w:t>
            </w:r>
          </w:p>
          <w:p w:rsidR="0061706E" w:rsidRDefault="0061706E">
            <w:pPr>
              <w:rPr>
                <w:sz w:val="20"/>
              </w:rPr>
            </w:pPr>
          </w:p>
          <w:p w:rsidR="0061706E" w:rsidRDefault="0061706E">
            <w:pPr>
              <w:rPr>
                <w:sz w:val="20"/>
              </w:rPr>
            </w:pPr>
            <w:r>
              <w:rPr>
                <w:sz w:val="20"/>
              </w:rPr>
              <w:t>Det er behov for å fremskaffe dokumentasjon som kan beskrive den prehospitalfasen av pakkeforløpet (målepunkt 1 og 2) for alle pasienter som meldes med mistanke om hjerneslag, evt. i form av en pilot.</w:t>
            </w:r>
          </w:p>
          <w:p w:rsidR="00B77D45" w:rsidRPr="000A4DDF" w:rsidRDefault="00B77D45">
            <w:pPr>
              <w:rPr>
                <w:sz w:val="20"/>
              </w:rPr>
            </w:pPr>
          </w:p>
          <w:p w:rsidR="00B77D45" w:rsidRDefault="00B77D45">
            <w:pPr>
              <w:rPr>
                <w:sz w:val="20"/>
              </w:rPr>
            </w:pPr>
            <w:r w:rsidRPr="000A4DDF">
              <w:rPr>
                <w:sz w:val="20"/>
              </w:rPr>
              <w:t>Det er behov for å tydeliggjøre rollen</w:t>
            </w:r>
            <w:r w:rsidR="0074073E" w:rsidRPr="000A4DDF">
              <w:rPr>
                <w:sz w:val="20"/>
              </w:rPr>
              <w:t xml:space="preserve"> til ulike aktører </w:t>
            </w:r>
            <w:r w:rsidRPr="000A4DDF">
              <w:rPr>
                <w:sz w:val="20"/>
              </w:rPr>
              <w:t xml:space="preserve">i den </w:t>
            </w:r>
            <w:proofErr w:type="spellStart"/>
            <w:r w:rsidRPr="000A4DDF">
              <w:rPr>
                <w:sz w:val="20"/>
              </w:rPr>
              <w:t>prehospital</w:t>
            </w:r>
            <w:r w:rsidR="00581C5E" w:rsidRPr="000A4DDF">
              <w:rPr>
                <w:sz w:val="20"/>
              </w:rPr>
              <w:t>e</w:t>
            </w:r>
            <w:proofErr w:type="spellEnd"/>
            <w:r w:rsidR="00581C5E" w:rsidRPr="000A4DDF">
              <w:rPr>
                <w:sz w:val="20"/>
              </w:rPr>
              <w:t xml:space="preserve"> </w:t>
            </w:r>
            <w:r w:rsidRPr="000A4DDF">
              <w:rPr>
                <w:sz w:val="20"/>
              </w:rPr>
              <w:t>fasen av pakkeforløpet</w:t>
            </w:r>
            <w:r w:rsidR="0074073E" w:rsidRPr="000A4DDF">
              <w:rPr>
                <w:sz w:val="20"/>
              </w:rPr>
              <w:t xml:space="preserve"> (fastlege, </w:t>
            </w:r>
            <w:proofErr w:type="gramStart"/>
            <w:r w:rsidR="0074073E" w:rsidRPr="000A4DDF">
              <w:rPr>
                <w:sz w:val="20"/>
              </w:rPr>
              <w:t xml:space="preserve">legevakt,  </w:t>
            </w:r>
            <w:r w:rsidR="0074073E" w:rsidRPr="000A4DDF">
              <w:rPr>
                <w:sz w:val="20"/>
              </w:rPr>
              <w:lastRenderedPageBreak/>
              <w:t>ambulanse</w:t>
            </w:r>
            <w:proofErr w:type="gramEnd"/>
            <w:r w:rsidR="0074073E" w:rsidRPr="000A4DDF">
              <w:rPr>
                <w:sz w:val="20"/>
              </w:rPr>
              <w:t xml:space="preserve"> m.m.)</w:t>
            </w:r>
            <w:r w:rsidRPr="000A4DDF">
              <w:rPr>
                <w:sz w:val="20"/>
              </w:rPr>
              <w:t xml:space="preserve">. </w:t>
            </w:r>
            <w:r w:rsidR="00C179DF" w:rsidRPr="000A4DDF">
              <w:rPr>
                <w:sz w:val="20"/>
              </w:rPr>
              <w:t>Dette b</w:t>
            </w:r>
            <w:r w:rsidR="00C179DF">
              <w:rPr>
                <w:sz w:val="20"/>
              </w:rPr>
              <w:t>ør illustreres i flytskjema og/eller være del av målepunkt 2 (varsling helsetjenesten/AMK).</w:t>
            </w:r>
          </w:p>
          <w:p w:rsidR="00CF40C7" w:rsidRDefault="00CF40C7">
            <w:pPr>
              <w:rPr>
                <w:sz w:val="20"/>
              </w:rPr>
            </w:pPr>
          </w:p>
          <w:p w:rsidR="00CF40C7" w:rsidRDefault="00CF40C7" w:rsidP="00CF40C7">
            <w:pPr>
              <w:rPr>
                <w:sz w:val="20"/>
              </w:rPr>
            </w:pPr>
            <w:r>
              <w:rPr>
                <w:sz w:val="20"/>
              </w:rPr>
              <w:t>Det skisserte pakkeforløp</w:t>
            </w:r>
            <w:r w:rsidRPr="00CF40C7">
              <w:rPr>
                <w:sz w:val="20"/>
              </w:rPr>
              <w:t>et er veldig teknisk, med mange og detaljerte målepunkter. Det er viktig at de</w:t>
            </w:r>
            <w:r>
              <w:rPr>
                <w:sz w:val="20"/>
              </w:rPr>
              <w:t xml:space="preserve"> valgte målepunktene gir mening </w:t>
            </w:r>
            <w:r w:rsidRPr="00CF40C7">
              <w:rPr>
                <w:sz w:val="20"/>
              </w:rPr>
              <w:t>for et pakkeforløp, og det bør gjøres en avveining om hvilke parametere som hører hjemme i en overvåkning av et pasientforløp og hvilke som hører hjemme i et kvalitets</w:t>
            </w:r>
            <w:r w:rsidR="00872905">
              <w:rPr>
                <w:sz w:val="20"/>
              </w:rPr>
              <w:t>-</w:t>
            </w:r>
            <w:r w:rsidRPr="00CF40C7">
              <w:rPr>
                <w:sz w:val="20"/>
              </w:rPr>
              <w:t>register. Det kan være grunn til å sammenligne med overvåkning av pakkeforløpene for kreftbehandling hvor man har langt færre målepunkt.</w:t>
            </w:r>
          </w:p>
          <w:p w:rsidR="00CF40C7" w:rsidRDefault="00CF40C7" w:rsidP="00CF40C7">
            <w:pPr>
              <w:rPr>
                <w:sz w:val="20"/>
              </w:rPr>
            </w:pPr>
          </w:p>
          <w:p w:rsidR="00CF40C7" w:rsidRPr="00CF40C7" w:rsidRDefault="00CF40C7" w:rsidP="00CF40C7">
            <w:pPr>
              <w:rPr>
                <w:sz w:val="20"/>
              </w:rPr>
            </w:pPr>
            <w:r w:rsidRPr="00CF40C7">
              <w:rPr>
                <w:sz w:val="20"/>
              </w:rPr>
              <w:t>Det må være en forutsetning at høsting av data skjer automatisk og elektronisk</w:t>
            </w:r>
            <w:r>
              <w:t>.</w:t>
            </w:r>
          </w:p>
          <w:p w:rsidR="00CF40C7" w:rsidRDefault="00CF40C7">
            <w:pPr>
              <w:rPr>
                <w:sz w:val="20"/>
              </w:rPr>
            </w:pPr>
          </w:p>
          <w:p w:rsidR="00CF40C7" w:rsidRDefault="00CF40C7">
            <w:pPr>
              <w:rPr>
                <w:sz w:val="20"/>
              </w:rPr>
            </w:pPr>
            <w:r>
              <w:rPr>
                <w:sz w:val="20"/>
              </w:rPr>
              <w:t xml:space="preserve">Det er </w:t>
            </w:r>
            <w:r w:rsidRPr="00CF40C7">
              <w:rPr>
                <w:sz w:val="20"/>
              </w:rPr>
              <w:t>grunn til å problematisere mulighetene for dårlig datakvalitet med bakgrunn i at det er svært mange målepunkt i forløpet samt at noen av målepunktene er vanskelig dokumenterbare. Et eksempel er målepunkt 2: Tidspunkt for varsling til helsetjenesten/AMK. Denne parameteren skal hentes inn i ettertid for pasienter som inkluderes i pakke</w:t>
            </w:r>
            <w:r w:rsidR="00872905">
              <w:rPr>
                <w:sz w:val="20"/>
              </w:rPr>
              <w:t>-</w:t>
            </w:r>
            <w:r w:rsidRPr="00CF40C7">
              <w:rPr>
                <w:sz w:val="20"/>
              </w:rPr>
              <w:t>forløpet. Slike data vil kunne være vanskelig å innhente for pasienter som kommer via fastlege eller legevakt og målepunktet blir dermed av begrenset verdi.</w:t>
            </w:r>
          </w:p>
          <w:p w:rsidR="005556E4" w:rsidRPr="005556E4" w:rsidRDefault="005556E4">
            <w:pPr>
              <w:rPr>
                <w:sz w:val="20"/>
              </w:rPr>
            </w:pPr>
          </w:p>
          <w:p w:rsidR="005556E4" w:rsidRPr="003C75D1" w:rsidRDefault="005556E4">
            <w:pPr>
              <w:rPr>
                <w:sz w:val="20"/>
              </w:rPr>
            </w:pPr>
            <w:r w:rsidRPr="005556E4">
              <w:rPr>
                <w:sz w:val="20"/>
              </w:rPr>
              <w:t>Alle innspillene til målepunkter setter mer ambisiøse mål enn utkast til pakkeforløp hjerneslag (strammere tidsforløp og/eller større an</w:t>
            </w:r>
            <w:r>
              <w:rPr>
                <w:sz w:val="20"/>
              </w:rPr>
              <w:t xml:space="preserve">del av pasienter). Innspillene bør </w:t>
            </w:r>
            <w:r w:rsidRPr="005556E4">
              <w:rPr>
                <w:sz w:val="20"/>
              </w:rPr>
              <w:t xml:space="preserve">gjennomgås </w:t>
            </w:r>
            <w:r>
              <w:rPr>
                <w:sz w:val="20"/>
              </w:rPr>
              <w:t xml:space="preserve">ytterligere og være </w:t>
            </w:r>
            <w:r w:rsidRPr="005556E4">
              <w:rPr>
                <w:sz w:val="20"/>
              </w:rPr>
              <w:t>gjenstand for ytterligere høring i fase 2 og fase 3, som ledd i det videre arbeidet med pakkeforløpet.</w:t>
            </w:r>
          </w:p>
          <w:p w:rsidR="006E741F" w:rsidRPr="003C75D1" w:rsidRDefault="006E741F">
            <w:pPr>
              <w:rPr>
                <w:sz w:val="20"/>
              </w:rPr>
            </w:pPr>
          </w:p>
          <w:p w:rsidR="006E741F" w:rsidRPr="003C75D1" w:rsidRDefault="006E741F" w:rsidP="006E741F">
            <w:pPr>
              <w:rPr>
                <w:color w:val="FF0000"/>
                <w:sz w:val="20"/>
              </w:rPr>
            </w:pPr>
            <w:r w:rsidRPr="003C75D1">
              <w:rPr>
                <w:sz w:val="20"/>
              </w:rPr>
              <w:t>Pakkeforløpet må også innbefatte pasienter som skal ha sentralisert behandling for hjerneblødning.</w:t>
            </w:r>
            <w:r w:rsidRPr="003C75D1">
              <w:rPr>
                <w:color w:val="FF0000"/>
                <w:sz w:val="20"/>
              </w:rPr>
              <w:t xml:space="preserve"> </w:t>
            </w:r>
          </w:p>
          <w:p w:rsidR="000F2E4F" w:rsidRPr="00C25746" w:rsidRDefault="008F548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F2E4F">
              <w:rPr>
                <w:sz w:val="20"/>
              </w:rPr>
              <w:t xml:space="preserve">  </w:t>
            </w: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B" w:rsidRDefault="000D67BB" w:rsidP="000D67BB">
            <w:pPr>
              <w:rPr>
                <w:b/>
                <w:sz w:val="20"/>
              </w:rPr>
            </w:pPr>
            <w:r w:rsidRPr="000D67BB">
              <w:rPr>
                <w:b/>
                <w:sz w:val="20"/>
              </w:rPr>
              <w:t xml:space="preserve">Introduksjon til pakkeforløp hjerneslag </w:t>
            </w:r>
          </w:p>
          <w:p w:rsidR="0080397A" w:rsidRPr="000D67BB" w:rsidRDefault="0080397A" w:rsidP="000D67BB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97545" w:rsidRDefault="00097545" w:rsidP="00097545">
            <w:pPr>
              <w:rPr>
                <w:rFonts w:cs="Arial"/>
                <w:sz w:val="20"/>
              </w:rPr>
            </w:pPr>
            <w:r w:rsidRPr="00097545">
              <w:rPr>
                <w:rFonts w:cs="Arial"/>
                <w:sz w:val="20"/>
              </w:rPr>
              <w:t xml:space="preserve">Dokumentet er ikke oppdatert på siste reviderte definisjon på rehabilitering ( $3 i endret forskrift om rehabilitering) Der står det: </w:t>
            </w:r>
          </w:p>
          <w:p w:rsidR="00097545" w:rsidRPr="00097545" w:rsidRDefault="00097545" w:rsidP="00097545">
            <w:pPr>
              <w:rPr>
                <w:rFonts w:cs="Arial"/>
                <w:sz w:val="20"/>
              </w:rPr>
            </w:pPr>
            <w:r w:rsidRPr="00097545">
              <w:rPr>
                <w:rFonts w:cs="Arial"/>
                <w:sz w:val="20"/>
              </w:rPr>
              <w:t xml:space="preserve">                     </w:t>
            </w:r>
            <w:r>
              <w:rPr>
                <w:rFonts w:cs="Arial"/>
                <w:sz w:val="20"/>
              </w:rPr>
              <w:t xml:space="preserve">            </w:t>
            </w:r>
            <w:r w:rsidRPr="00097545">
              <w:rPr>
                <w:rFonts w:cs="Arial"/>
                <w:sz w:val="20"/>
              </w:rPr>
              <w:t xml:space="preserve">                                                                </w:t>
            </w:r>
          </w:p>
          <w:p w:rsidR="00097545" w:rsidRPr="00097545" w:rsidRDefault="00097545" w:rsidP="00097545">
            <w:pPr>
              <w:pStyle w:val="Default"/>
              <w:rPr>
                <w:rFonts w:ascii="Arial" w:hAnsi="Arial" w:cs="Arial"/>
                <w:i/>
                <w:sz w:val="20"/>
                <w:szCs w:val="20"/>
              </w:rPr>
            </w:pPr>
            <w:r w:rsidRPr="00097545">
              <w:rPr>
                <w:rFonts w:ascii="Arial" w:hAnsi="Arial" w:cs="Arial"/>
                <w:i/>
                <w:sz w:val="20"/>
                <w:szCs w:val="20"/>
              </w:rPr>
              <w:t xml:space="preserve">”Habilitering og rehabilitering skal ta utgangspunkt i brukerens livssituasjon og mål. </w:t>
            </w:r>
          </w:p>
          <w:p w:rsidR="00097545" w:rsidRPr="00097545" w:rsidRDefault="00097545" w:rsidP="00097545">
            <w:pPr>
              <w:pStyle w:val="Default"/>
              <w:rPr>
                <w:rFonts w:ascii="Arial" w:hAnsi="Arial" w:cs="Arial"/>
                <w:i/>
                <w:sz w:val="20"/>
                <w:szCs w:val="20"/>
              </w:rPr>
            </w:pPr>
            <w:r w:rsidRPr="00097545">
              <w:rPr>
                <w:rFonts w:ascii="Arial" w:hAnsi="Arial" w:cs="Arial"/>
                <w:i/>
                <w:sz w:val="20"/>
                <w:szCs w:val="20"/>
              </w:rPr>
              <w:t xml:space="preserve">Habilitering og rehabilitering er målrettede samarbeidsprosesser mellom bruker, pårørende og tjenesteytere og på relevante arenaer. Prosessene kjennetegnes ved koordinerte, sammenhengende og kunnskapsbaserte tiltak fra aktørene. </w:t>
            </w:r>
          </w:p>
          <w:p w:rsidR="00097545" w:rsidRPr="00097545" w:rsidRDefault="00097545" w:rsidP="00097545">
            <w:pPr>
              <w:pStyle w:val="Default"/>
              <w:rPr>
                <w:rFonts w:ascii="Arial" w:hAnsi="Arial" w:cs="Arial"/>
                <w:i/>
                <w:sz w:val="20"/>
                <w:szCs w:val="20"/>
              </w:rPr>
            </w:pPr>
            <w:r w:rsidRPr="00097545">
              <w:rPr>
                <w:rFonts w:ascii="Arial" w:hAnsi="Arial" w:cs="Arial"/>
                <w:i/>
                <w:sz w:val="20"/>
                <w:szCs w:val="20"/>
              </w:rPr>
              <w:t>Formålet er at brukeren, som har eller står i fare for å få begrensninger i sin fysiske, psykiske, kognitive eller sosiale funksjonsevne, skal gis mulighet til å oppnå best mulig funksjons- og mestringsevne, selvstendighet og deltagelse i utdanning og arbeidsliv, sosialt og i samfunnet.”</w:t>
            </w:r>
          </w:p>
          <w:p w:rsidR="00097545" w:rsidRPr="00097545" w:rsidRDefault="00097545" w:rsidP="00097545">
            <w:pPr>
              <w:pStyle w:val="Default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09754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097545" w:rsidRPr="00097545" w:rsidRDefault="00097545" w:rsidP="00097545">
            <w:pPr>
              <w:pStyle w:val="Default"/>
              <w:rPr>
                <w:rFonts w:ascii="Arial" w:hAnsi="Arial" w:cs="Arial"/>
                <w:i/>
                <w:sz w:val="20"/>
                <w:szCs w:val="20"/>
              </w:rPr>
            </w:pPr>
            <w:r w:rsidRPr="00097545">
              <w:rPr>
                <w:rFonts w:ascii="Arial" w:hAnsi="Arial" w:cs="Arial"/>
                <w:sz w:val="20"/>
                <w:szCs w:val="20"/>
              </w:rPr>
              <w:t>I dette dokumentet har brukeren en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mye mer passiv og mottakende </w:t>
            </w:r>
            <w:r w:rsidRPr="00097545">
              <w:rPr>
                <w:rFonts w:ascii="Arial" w:hAnsi="Arial" w:cs="Arial"/>
                <w:i/>
                <w:sz w:val="20"/>
                <w:szCs w:val="20"/>
              </w:rPr>
              <w:t>rolle, sett fra behandlerens side:</w:t>
            </w:r>
          </w:p>
          <w:p w:rsidR="00097545" w:rsidRDefault="00097545" w:rsidP="00097545">
            <w:pPr>
              <w:shd w:val="clear" w:color="auto" w:fill="FFFFFF"/>
              <w:rPr>
                <w:rFonts w:cs="Arial"/>
                <w:color w:val="222222"/>
                <w:sz w:val="20"/>
              </w:rPr>
            </w:pPr>
            <w:r w:rsidRPr="00097545">
              <w:rPr>
                <w:rFonts w:cs="Arial"/>
                <w:color w:val="222222"/>
                <w:sz w:val="20"/>
              </w:rPr>
              <w:t>”</w:t>
            </w:r>
            <w:r w:rsidRPr="00097545">
              <w:rPr>
                <w:rFonts w:cs="Arial"/>
                <w:i/>
                <w:color w:val="222222"/>
                <w:sz w:val="20"/>
              </w:rPr>
              <w:t>Forløpet skal være individuelt tilpasset pasientens totale situasjon og behov. God informasjon og forutsigbarhet for pasient og pårørende skal sikres gjennom hele forløpet</w:t>
            </w:r>
            <w:r>
              <w:rPr>
                <w:rFonts w:cs="Arial"/>
                <w:color w:val="222222"/>
                <w:sz w:val="20"/>
              </w:rPr>
              <w:t xml:space="preserve">. ” </w:t>
            </w:r>
          </w:p>
          <w:p w:rsidR="00CF40C7" w:rsidRPr="00097545" w:rsidRDefault="00CF40C7" w:rsidP="00097545">
            <w:pPr>
              <w:shd w:val="clear" w:color="auto" w:fill="FFFFFF"/>
              <w:rPr>
                <w:rFonts w:cs="Arial"/>
                <w:color w:val="222222"/>
                <w:sz w:val="20"/>
              </w:rPr>
            </w:pPr>
          </w:p>
        </w:tc>
      </w:tr>
      <w:tr w:rsidR="00ED602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602B" w:rsidRPr="00542A6C" w:rsidRDefault="00ED602B">
            <w:pPr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B" w:rsidRPr="00ED602B" w:rsidRDefault="00ED602B" w:rsidP="00ED602B">
            <w:pPr>
              <w:rPr>
                <w:b/>
                <w:sz w:val="20"/>
              </w:rPr>
            </w:pPr>
            <w:r w:rsidRPr="000D67BB">
              <w:rPr>
                <w:b/>
                <w:sz w:val="20"/>
              </w:rPr>
              <w:t xml:space="preserve">Introduksjon til pakkeforløp hjerneslag </w:t>
            </w:r>
            <w:r>
              <w:rPr>
                <w:b/>
                <w:sz w:val="20"/>
              </w:rPr>
              <w:t>f</w:t>
            </w:r>
            <w:r w:rsidRPr="00ED602B">
              <w:rPr>
                <w:b/>
                <w:sz w:val="20"/>
              </w:rPr>
              <w:t>orts.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D602B" w:rsidRDefault="00ED602B" w:rsidP="0009754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Omtalen av individuelt tilpassede forløp og brukermedvirkning bør beskrives innledningsvis i dokumentet.</w:t>
            </w:r>
          </w:p>
          <w:p w:rsidR="006F4902" w:rsidRPr="00097545" w:rsidRDefault="006F4902" w:rsidP="00097545">
            <w:pPr>
              <w:rPr>
                <w:rFonts w:cs="Arial"/>
                <w:sz w:val="20"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B" w:rsidRDefault="000D67BB">
            <w:pPr>
              <w:rPr>
                <w:b/>
                <w:sz w:val="20"/>
              </w:rPr>
            </w:pPr>
            <w:r w:rsidRPr="000D67BB">
              <w:rPr>
                <w:b/>
                <w:sz w:val="20"/>
              </w:rPr>
              <w:t>MP 1</w:t>
            </w:r>
            <w:r>
              <w:rPr>
                <w:b/>
                <w:sz w:val="20"/>
              </w:rPr>
              <w:t xml:space="preserve">: </w:t>
            </w:r>
            <w:r w:rsidRPr="000D67BB">
              <w:rPr>
                <w:b/>
                <w:sz w:val="20"/>
              </w:rPr>
              <w:t>Debut symptomer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Pr="00416BE1" w:rsidRDefault="00374A48">
            <w:pPr>
              <w:rPr>
                <w:color w:val="FF0000"/>
                <w:sz w:val="20"/>
              </w:rPr>
            </w:pPr>
            <w:r w:rsidRPr="00416BE1">
              <w:rPr>
                <w:sz w:val="20"/>
              </w:rPr>
              <w:t>Forslag om at målepunktet inneholder data for usikre debutstart, som f.eks. pasienter med "wake-up-stroke".</w:t>
            </w: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0D6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MP 2: Varsling AMK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4A10AB" w:rsidRPr="0074073E" w:rsidRDefault="00343A4C" w:rsidP="0074073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Forslag om at </w:t>
            </w:r>
            <w:r w:rsidR="00B76B56" w:rsidRPr="00B76B56">
              <w:rPr>
                <w:sz w:val="20"/>
              </w:rPr>
              <w:t>50 % av pasientene med symptomer med hjerneslag bør ha kontaktet helsetjenesten innen 15 min. (og ikke 30 min.).</w:t>
            </w:r>
          </w:p>
          <w:p w:rsidR="006F4902" w:rsidRPr="00B76B56" w:rsidRDefault="006F4902" w:rsidP="00374A48">
            <w:pPr>
              <w:rPr>
                <w:sz w:val="20"/>
              </w:rPr>
            </w:pPr>
          </w:p>
        </w:tc>
      </w:tr>
      <w:tr w:rsidR="00374A48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74A48" w:rsidRPr="00542A6C" w:rsidRDefault="00374A48">
            <w:pPr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8" w:rsidRDefault="00374A48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374A48" w:rsidRDefault="00374A48" w:rsidP="00374A48">
            <w:pPr>
              <w:rPr>
                <w:sz w:val="20"/>
              </w:rPr>
            </w:pPr>
            <w:r>
              <w:rPr>
                <w:sz w:val="20"/>
              </w:rPr>
              <w:t>Målepunktet bør reflektere at varsling til helsetjenesten ikke bare omfatter AMK, men også kan gå via fastlege eller legevakt.</w:t>
            </w:r>
          </w:p>
          <w:p w:rsidR="00374A48" w:rsidRDefault="00374A48">
            <w:pPr>
              <w:rPr>
                <w:sz w:val="20"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0D6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MP 3: Ankomst akuttmottak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Pr="00B76B56" w:rsidRDefault="00343A4C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Forslag om at </w:t>
            </w:r>
            <w:r w:rsidR="00B76B56" w:rsidRPr="00B76B56">
              <w:rPr>
                <w:sz w:val="20"/>
              </w:rPr>
              <w:t>&gt; 50 % (og ikke 50 %) av pasientene bør være ankommet sykehus innen 4 timer fra debut.</w:t>
            </w:r>
          </w:p>
        </w:tc>
      </w:tr>
      <w:tr w:rsidR="00374A48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74A48" w:rsidRPr="00542A6C" w:rsidRDefault="00374A48">
            <w:pPr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8" w:rsidRDefault="00374A48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374A48" w:rsidRPr="00B6328D" w:rsidRDefault="00374A48">
            <w:pPr>
              <w:rPr>
                <w:sz w:val="20"/>
              </w:rPr>
            </w:pPr>
            <w:r w:rsidRPr="00B6328D">
              <w:rPr>
                <w:sz w:val="20"/>
              </w:rPr>
              <w:t>Det må beskrives hvordan pasienter som får hjerneslag på sykehus skal registreres i pakkeforløpet.</w:t>
            </w:r>
          </w:p>
          <w:p w:rsidR="00374A48" w:rsidRPr="00B6328D" w:rsidRDefault="00374A48">
            <w:pPr>
              <w:rPr>
                <w:sz w:val="20"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0D6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MP 4: Bildediagnostikk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Pr="00B6328D" w:rsidRDefault="00374A48">
            <w:pPr>
              <w:rPr>
                <w:sz w:val="20"/>
              </w:rPr>
            </w:pPr>
            <w:r w:rsidRPr="00B6328D">
              <w:rPr>
                <w:sz w:val="20"/>
              </w:rPr>
              <w:t>Forslag om 80 % av pasientene som ankommer sykehuset innen 4 timer etter symptomdebut, bør ha bildeundersøkelse innen 10 min. (og ikke 15 min.) og bør være tolket innen 5 min.</w:t>
            </w:r>
          </w:p>
          <w:p w:rsidR="00374A48" w:rsidRPr="00B6328D" w:rsidRDefault="00374A48">
            <w:pPr>
              <w:rPr>
                <w:sz w:val="20"/>
              </w:rPr>
            </w:pPr>
          </w:p>
        </w:tc>
      </w:tr>
      <w:tr w:rsidR="00B87044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87044" w:rsidRPr="00542A6C" w:rsidRDefault="00B87044">
            <w:pPr>
              <w:rPr>
                <w:b/>
                <w:sz w:val="20"/>
              </w:rPr>
            </w:pPr>
          </w:p>
          <w:p w:rsidR="00B87044" w:rsidRPr="00542A6C" w:rsidRDefault="00B87044">
            <w:pPr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44" w:rsidRPr="00B87044" w:rsidRDefault="00B87044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87044" w:rsidRDefault="00B87044">
            <w:pPr>
              <w:rPr>
                <w:sz w:val="20"/>
              </w:rPr>
            </w:pPr>
            <w:r>
              <w:rPr>
                <w:sz w:val="20"/>
              </w:rPr>
              <w:t xml:space="preserve">Forslag om å </w:t>
            </w:r>
            <w:r w:rsidRPr="00B87044">
              <w:rPr>
                <w:sz w:val="20"/>
              </w:rPr>
              <w:t xml:space="preserve">inkludere målepunkt </w:t>
            </w:r>
            <w:r w:rsidR="006F4902">
              <w:rPr>
                <w:sz w:val="20"/>
              </w:rPr>
              <w:t>også for pasienter med intrakranielle blødninger i pakkeforløpet.</w:t>
            </w:r>
          </w:p>
          <w:p w:rsidR="006F4902" w:rsidRPr="006F4902" w:rsidRDefault="006F4902">
            <w:pPr>
              <w:rPr>
                <w:sz w:val="20"/>
              </w:rPr>
            </w:pPr>
          </w:p>
        </w:tc>
      </w:tr>
      <w:tr w:rsidR="00B73B76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73B76" w:rsidRPr="00542A6C" w:rsidRDefault="00B73B76">
            <w:pPr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6" w:rsidRPr="00B73B76" w:rsidRDefault="00B73B76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73B76" w:rsidRPr="00416BE1" w:rsidRDefault="00B73B76" w:rsidP="00B92573">
            <w:pPr>
              <w:spacing w:after="120"/>
              <w:rPr>
                <w:rFonts w:cs="Arial"/>
                <w:bCs/>
                <w:sz w:val="20"/>
              </w:rPr>
            </w:pPr>
            <w:r w:rsidRPr="003D166E">
              <w:rPr>
                <w:rFonts w:cs="Arial"/>
                <w:bCs/>
                <w:sz w:val="20"/>
              </w:rPr>
              <w:t xml:space="preserve">Forslag om å utvide målepunktet med ultralyd </w:t>
            </w:r>
            <w:proofErr w:type="spellStart"/>
            <w:r w:rsidRPr="003D166E">
              <w:rPr>
                <w:rFonts w:cs="Arial"/>
                <w:bCs/>
                <w:sz w:val="20"/>
              </w:rPr>
              <w:t>halskar</w:t>
            </w:r>
            <w:proofErr w:type="spellEnd"/>
            <w:r w:rsidRPr="003D166E">
              <w:rPr>
                <w:rFonts w:cs="Arial"/>
                <w:bCs/>
                <w:sz w:val="20"/>
              </w:rPr>
              <w:t xml:space="preserve"> evt. CT angiografi av halsen.</w:t>
            </w:r>
          </w:p>
          <w:p w:rsidR="00B73B76" w:rsidRPr="00416BE1" w:rsidRDefault="00B73B76" w:rsidP="00B73B76">
            <w:pPr>
              <w:rPr>
                <w:rFonts w:cs="Arial"/>
                <w:sz w:val="20"/>
              </w:rPr>
            </w:pPr>
            <w:r w:rsidRPr="00416BE1">
              <w:rPr>
                <w:rFonts w:cs="Arial"/>
                <w:bCs/>
                <w:sz w:val="20"/>
                <w:u w:val="single"/>
              </w:rPr>
              <w:t xml:space="preserve">Begrunnelse: </w:t>
            </w:r>
            <w:r w:rsidRPr="00416BE1">
              <w:rPr>
                <w:rFonts w:cs="Arial"/>
                <w:sz w:val="20"/>
              </w:rPr>
              <w:t xml:space="preserve">Tidlig diagnostikk av symptomgivende </w:t>
            </w:r>
            <w:proofErr w:type="spellStart"/>
            <w:r w:rsidRPr="00416BE1">
              <w:rPr>
                <w:rFonts w:cs="Arial"/>
                <w:sz w:val="20"/>
              </w:rPr>
              <w:t>carotis</w:t>
            </w:r>
            <w:proofErr w:type="spellEnd"/>
            <w:r w:rsidRPr="00416BE1">
              <w:rPr>
                <w:rFonts w:cs="Arial"/>
                <w:sz w:val="20"/>
              </w:rPr>
              <w:t xml:space="preserve">-stenose vil bidra til at flere pasienter får </w:t>
            </w:r>
            <w:proofErr w:type="spellStart"/>
            <w:r w:rsidRPr="00416BE1">
              <w:rPr>
                <w:rFonts w:cs="Arial"/>
                <w:sz w:val="20"/>
              </w:rPr>
              <w:t>carotis</w:t>
            </w:r>
            <w:proofErr w:type="spellEnd"/>
            <w:r w:rsidRPr="00416BE1">
              <w:rPr>
                <w:rFonts w:cs="Arial"/>
                <w:sz w:val="20"/>
              </w:rPr>
              <w:t xml:space="preserve">-operasjon og at de får kirurgi tidligere. Ultralyd </w:t>
            </w:r>
            <w:proofErr w:type="spellStart"/>
            <w:r w:rsidRPr="00416BE1">
              <w:rPr>
                <w:rFonts w:cs="Arial"/>
                <w:sz w:val="20"/>
              </w:rPr>
              <w:t>halskar</w:t>
            </w:r>
            <w:proofErr w:type="spellEnd"/>
            <w:r w:rsidRPr="00416BE1">
              <w:rPr>
                <w:rFonts w:cs="Arial"/>
                <w:sz w:val="20"/>
              </w:rPr>
              <w:t xml:space="preserve">/CT angiografi av halsen samtidig med CT eller MR </w:t>
            </w:r>
            <w:r w:rsidR="003D166E" w:rsidRPr="00416BE1">
              <w:rPr>
                <w:rFonts w:cs="Arial"/>
                <w:sz w:val="20"/>
              </w:rPr>
              <w:t xml:space="preserve">i </w:t>
            </w:r>
            <w:r w:rsidRPr="00416BE1">
              <w:rPr>
                <w:rFonts w:cs="Arial"/>
                <w:sz w:val="20"/>
              </w:rPr>
              <w:t xml:space="preserve">målepunkt 4 </w:t>
            </w:r>
            <w:r w:rsidR="003D166E" w:rsidRPr="00416BE1">
              <w:rPr>
                <w:rFonts w:cs="Arial"/>
                <w:sz w:val="20"/>
              </w:rPr>
              <w:t xml:space="preserve">vil kunne bidra til å nå målsetningen i målepunkt 8 </w:t>
            </w:r>
            <w:r w:rsidRPr="00416BE1">
              <w:rPr>
                <w:rFonts w:cs="Arial"/>
                <w:sz w:val="20"/>
              </w:rPr>
              <w:t xml:space="preserve">om </w:t>
            </w:r>
            <w:r w:rsidR="003D166E" w:rsidRPr="00416BE1">
              <w:rPr>
                <w:rFonts w:cs="Arial"/>
                <w:sz w:val="20"/>
              </w:rPr>
              <w:t>at 80 % av pasientene</w:t>
            </w:r>
            <w:r w:rsidRPr="00416BE1">
              <w:rPr>
                <w:rFonts w:cs="Arial"/>
                <w:sz w:val="20"/>
              </w:rPr>
              <w:t xml:space="preserve"> med milde og moderate hjerneinfarkt og</w:t>
            </w:r>
            <w:r w:rsidR="003D166E" w:rsidRPr="00416BE1">
              <w:rPr>
                <w:rFonts w:cs="Arial"/>
                <w:sz w:val="20"/>
              </w:rPr>
              <w:t xml:space="preserve"> signifikant </w:t>
            </w:r>
            <w:proofErr w:type="spellStart"/>
            <w:r w:rsidR="003D166E" w:rsidRPr="00416BE1">
              <w:rPr>
                <w:rFonts w:cs="Arial"/>
                <w:sz w:val="20"/>
              </w:rPr>
              <w:t>carotis</w:t>
            </w:r>
            <w:proofErr w:type="spellEnd"/>
            <w:r w:rsidR="003D166E" w:rsidRPr="00416BE1">
              <w:rPr>
                <w:rFonts w:cs="Arial"/>
                <w:sz w:val="20"/>
              </w:rPr>
              <w:t>-stenose skal ha fått</w:t>
            </w:r>
            <w:r w:rsidRPr="00416BE1">
              <w:rPr>
                <w:rFonts w:cs="Arial"/>
                <w:sz w:val="20"/>
              </w:rPr>
              <w:t xml:space="preserve"> operasjon gjennomført innen to uker.</w:t>
            </w:r>
          </w:p>
          <w:p w:rsidR="00B73B76" w:rsidRPr="00B73B76" w:rsidRDefault="00B73B76">
            <w:pPr>
              <w:rPr>
                <w:sz w:val="20"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0D6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MP 5: Trombolyse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Default="00343A4C">
            <w:pPr>
              <w:rPr>
                <w:sz w:val="20"/>
              </w:rPr>
            </w:pPr>
            <w:r>
              <w:rPr>
                <w:sz w:val="20"/>
              </w:rPr>
              <w:t xml:space="preserve">Forslag om at </w:t>
            </w:r>
            <w:r w:rsidR="00B76B56" w:rsidRPr="00B76B56">
              <w:rPr>
                <w:sz w:val="20"/>
              </w:rPr>
              <w:t>50 % av pasientene som skal få trombolyse får start av trombolysebehandling innen 30 min. (og ikke 40 min.).</w:t>
            </w:r>
          </w:p>
          <w:p w:rsidR="006F4902" w:rsidRPr="00B76B56" w:rsidRDefault="006F4902">
            <w:pPr>
              <w:rPr>
                <w:sz w:val="20"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0D6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MP 6: Trombektomi 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42A6C" w:rsidRPr="00B92573" w:rsidRDefault="00542A6C" w:rsidP="00B92573">
            <w:pPr>
              <w:spacing w:after="120"/>
              <w:rPr>
                <w:color w:val="365F91" w:themeColor="accent1" w:themeShade="BF"/>
                <w:sz w:val="20"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0D6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MP 7: Innlagt slagenhet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Pr="004A10AB" w:rsidRDefault="000D67BB">
            <w:pPr>
              <w:rPr>
                <w:color w:val="0070C0"/>
                <w:sz w:val="20"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0D6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MP 8: Karotis operasjon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Pr="00B6328D" w:rsidRDefault="00C33256">
            <w:pPr>
              <w:rPr>
                <w:sz w:val="20"/>
              </w:rPr>
            </w:pPr>
            <w:proofErr w:type="spellStart"/>
            <w:r w:rsidRPr="00B6328D">
              <w:rPr>
                <w:sz w:val="20"/>
              </w:rPr>
              <w:t>Carotis</w:t>
            </w:r>
            <w:proofErr w:type="spellEnd"/>
            <w:r w:rsidRPr="00B6328D">
              <w:rPr>
                <w:sz w:val="20"/>
              </w:rPr>
              <w:t xml:space="preserve"> er rett skrivemåte på norsk.</w:t>
            </w:r>
          </w:p>
          <w:p w:rsidR="006E741F" w:rsidRPr="00B6328D" w:rsidRDefault="006E741F">
            <w:pPr>
              <w:rPr>
                <w:sz w:val="20"/>
              </w:rPr>
            </w:pPr>
          </w:p>
          <w:p w:rsidR="006E741F" w:rsidRPr="00B6328D" w:rsidRDefault="006E741F">
            <w:pPr>
              <w:rPr>
                <w:sz w:val="20"/>
              </w:rPr>
            </w:pPr>
            <w:r w:rsidRPr="00B6328D">
              <w:rPr>
                <w:sz w:val="20"/>
              </w:rPr>
              <w:t xml:space="preserve">Forslag om at målepunktet betegnes </w:t>
            </w:r>
            <w:proofErr w:type="spellStart"/>
            <w:r w:rsidRPr="00B6328D">
              <w:rPr>
                <w:sz w:val="20"/>
              </w:rPr>
              <w:t>Carotis</w:t>
            </w:r>
            <w:proofErr w:type="spellEnd"/>
            <w:r w:rsidRPr="00B6328D">
              <w:rPr>
                <w:sz w:val="20"/>
              </w:rPr>
              <w:t xml:space="preserve"> operasjon eller </w:t>
            </w:r>
            <w:proofErr w:type="spellStart"/>
            <w:r w:rsidRPr="00B6328D">
              <w:rPr>
                <w:sz w:val="20"/>
              </w:rPr>
              <w:t>stenting</w:t>
            </w:r>
            <w:proofErr w:type="spellEnd"/>
            <w:r w:rsidRPr="00B6328D">
              <w:rPr>
                <w:sz w:val="20"/>
              </w:rPr>
              <w:t>.</w:t>
            </w:r>
          </w:p>
          <w:p w:rsidR="006E741F" w:rsidRPr="00B6328D" w:rsidRDefault="006E741F">
            <w:pPr>
              <w:rPr>
                <w:sz w:val="20"/>
              </w:rPr>
            </w:pPr>
          </w:p>
        </w:tc>
      </w:tr>
      <w:tr w:rsidR="003A2D70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A2D70" w:rsidRPr="00542A6C" w:rsidRDefault="003A2D70">
            <w:pPr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0" w:rsidRDefault="003A2D70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3A2D70" w:rsidRPr="00B6328D" w:rsidRDefault="003A2D70">
            <w:pPr>
              <w:rPr>
                <w:sz w:val="20"/>
              </w:rPr>
            </w:pPr>
            <w:r w:rsidRPr="00B6328D">
              <w:rPr>
                <w:sz w:val="20"/>
              </w:rPr>
              <w:t xml:space="preserve">Forslag om at &gt; 80 % (og ikke 80 %) av pasienter – også de med alvorlige hjerneslag, har fått gjennomført </w:t>
            </w:r>
            <w:proofErr w:type="spellStart"/>
            <w:r w:rsidRPr="00B6328D">
              <w:rPr>
                <w:sz w:val="20"/>
              </w:rPr>
              <w:t>carotis</w:t>
            </w:r>
            <w:proofErr w:type="spellEnd"/>
            <w:r w:rsidRPr="00B6328D">
              <w:rPr>
                <w:sz w:val="20"/>
              </w:rPr>
              <w:t xml:space="preserve"> operasjon/</w:t>
            </w:r>
            <w:proofErr w:type="spellStart"/>
            <w:r w:rsidRPr="00B6328D">
              <w:rPr>
                <w:sz w:val="20"/>
              </w:rPr>
              <w:t>stenting</w:t>
            </w:r>
            <w:proofErr w:type="spellEnd"/>
            <w:r w:rsidRPr="00B6328D">
              <w:rPr>
                <w:sz w:val="20"/>
              </w:rPr>
              <w:t xml:space="preserve"> innen to uker.</w:t>
            </w:r>
          </w:p>
          <w:p w:rsidR="003A2D70" w:rsidRPr="00B6328D" w:rsidRDefault="003A2D70">
            <w:pPr>
              <w:rPr>
                <w:sz w:val="20"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0D6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MP 9: Varsling om behov for videre rehabilitering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Default="008C13AF">
            <w:pPr>
              <w:rPr>
                <w:sz w:val="20"/>
              </w:rPr>
            </w:pPr>
            <w:r w:rsidRPr="008C13AF">
              <w:rPr>
                <w:sz w:val="20"/>
              </w:rPr>
              <w:t>Forslag om at 80 % av pasientene får sitt rehabiliteringsbehov vurdert etter 3 (og ikke 5) virkedager etter innleggelse i slagenhet, i tråd med andre relevante diagnosegrupper (ref. Nasjonal traumeplan). Vurdering av rehabiliteringsbehov bør gjøres av spesialist i fysik</w:t>
            </w:r>
            <w:r>
              <w:rPr>
                <w:sz w:val="20"/>
              </w:rPr>
              <w:t>alsk medisin og rehabilitering.</w:t>
            </w:r>
          </w:p>
          <w:p w:rsidR="006F4902" w:rsidRPr="008C13AF" w:rsidRDefault="006F4902">
            <w:pPr>
              <w:rPr>
                <w:sz w:val="20"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0D6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MP 10: Utskrivningsklar fra </w:t>
            </w:r>
            <w:r>
              <w:rPr>
                <w:b/>
                <w:sz w:val="20"/>
              </w:rPr>
              <w:lastRenderedPageBreak/>
              <w:t>slagenhet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Default="008C13AF">
            <w:pPr>
              <w:rPr>
                <w:sz w:val="20"/>
              </w:rPr>
            </w:pPr>
            <w:r w:rsidRPr="008C13AF">
              <w:rPr>
                <w:sz w:val="20"/>
              </w:rPr>
              <w:lastRenderedPageBreak/>
              <w:t xml:space="preserve">Forslag om at det for 100 % av pasientene tilstrebes å sendes varsel til aktuell rehabiliteringsavdeling/-institusjon </w:t>
            </w:r>
            <w:r w:rsidRPr="008C13AF">
              <w:rPr>
                <w:i/>
                <w:sz w:val="20"/>
              </w:rPr>
              <w:t xml:space="preserve">tidligere </w:t>
            </w:r>
            <w:r w:rsidRPr="008C13AF">
              <w:rPr>
                <w:i/>
                <w:sz w:val="20"/>
              </w:rPr>
              <w:lastRenderedPageBreak/>
              <w:t>enn</w:t>
            </w:r>
            <w:r w:rsidRPr="008C13AF">
              <w:rPr>
                <w:sz w:val="20"/>
              </w:rPr>
              <w:t xml:space="preserve"> 2 dager før overflytting/</w:t>
            </w:r>
            <w:r>
              <w:rPr>
                <w:sz w:val="20"/>
              </w:rPr>
              <w:t xml:space="preserve"> utskrivelse.</w:t>
            </w:r>
          </w:p>
          <w:p w:rsidR="006F4902" w:rsidRPr="008C13AF" w:rsidRDefault="006F4902">
            <w:pPr>
              <w:rPr>
                <w:sz w:val="20"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0D67BB" w:rsidP="000D6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MP 11: Dato for start spes. </w:t>
            </w:r>
            <w:r w:rsidR="0080397A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ehabilitering</w:t>
            </w:r>
          </w:p>
          <w:p w:rsidR="0080397A" w:rsidRPr="000D67BB" w:rsidRDefault="0080397A" w:rsidP="000D67BB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Default="000D67BB">
            <w:pPr>
              <w:rPr>
                <w:b/>
                <w:i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0D6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MP 12: Dato for et</w:t>
            </w:r>
            <w:r w:rsidR="0080397A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blering av rehabiliteringsplan </w:t>
            </w:r>
            <w:proofErr w:type="spellStart"/>
            <w:r>
              <w:rPr>
                <w:b/>
                <w:sz w:val="20"/>
              </w:rPr>
              <w:t>spes.rehab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Default="000D67BB">
            <w:pPr>
              <w:rPr>
                <w:b/>
                <w:i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8039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MP 13: Tidspunkt for henvisning ESD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Default="000D67BB">
            <w:pPr>
              <w:rPr>
                <w:b/>
                <w:i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A" w:rsidRDefault="008039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MP 14: Tidspunkt for etablert kontakt  ESD </w:t>
            </w:r>
          </w:p>
          <w:p w:rsidR="000D67BB" w:rsidRDefault="008039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team og pasient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Default="000D67BB">
            <w:pPr>
              <w:rPr>
                <w:b/>
                <w:i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8039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MP 16: Etablering av rehabiliteringsplan ved ESD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Default="000D67BB">
            <w:pPr>
              <w:rPr>
                <w:b/>
                <w:i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8039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MP 17: Start kommunal rehabilitering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Default="000D67BB">
            <w:pPr>
              <w:rPr>
                <w:b/>
                <w:i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67BB" w:rsidRPr="00542A6C" w:rsidRDefault="000D67BB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8039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MP 18: Etablering av rehabiliteringsplan – kommunal rehabilitering</w:t>
            </w:r>
          </w:p>
          <w:p w:rsidR="0080397A" w:rsidRPr="000D67BB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Default="000D67BB">
            <w:pPr>
              <w:rPr>
                <w:b/>
                <w:i/>
              </w:rPr>
            </w:pPr>
          </w:p>
        </w:tc>
      </w:tr>
      <w:tr w:rsidR="000D67BB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67BB" w:rsidRPr="00542A6C" w:rsidRDefault="0080397A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 xml:space="preserve">20 </w:t>
            </w:r>
          </w:p>
          <w:p w:rsidR="0080397A" w:rsidRPr="00542A6C" w:rsidRDefault="0080397A">
            <w:pPr>
              <w:rPr>
                <w:b/>
                <w:sz w:val="20"/>
              </w:rPr>
            </w:pPr>
          </w:p>
          <w:p w:rsidR="0080397A" w:rsidRPr="00542A6C" w:rsidRDefault="0080397A">
            <w:pPr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B" w:rsidRDefault="008039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MP 19:1- 3 </w:t>
            </w:r>
            <w:proofErr w:type="spellStart"/>
            <w:r>
              <w:rPr>
                <w:b/>
                <w:sz w:val="20"/>
              </w:rPr>
              <w:t>mnd</w:t>
            </w:r>
            <w:proofErr w:type="spellEnd"/>
            <w:r>
              <w:rPr>
                <w:b/>
                <w:sz w:val="20"/>
              </w:rPr>
              <w:t xml:space="preserve"> kontroll i spesialist </w:t>
            </w:r>
            <w:proofErr w:type="gramStart"/>
            <w:r w:rsidR="007B77F2">
              <w:rPr>
                <w:b/>
                <w:sz w:val="20"/>
              </w:rPr>
              <w:t>–</w:t>
            </w:r>
            <w:r>
              <w:rPr>
                <w:b/>
                <w:sz w:val="20"/>
              </w:rPr>
              <w:t>helsetjenesten</w:t>
            </w:r>
            <w:proofErr w:type="gramEnd"/>
          </w:p>
          <w:p w:rsidR="007B77F2" w:rsidRPr="000D67BB" w:rsidRDefault="007B77F2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D67BB" w:rsidRDefault="008C13AF">
            <w:pPr>
              <w:rPr>
                <w:sz w:val="20"/>
              </w:rPr>
            </w:pPr>
            <w:r w:rsidRPr="008C13AF">
              <w:rPr>
                <w:sz w:val="20"/>
              </w:rPr>
              <w:t>1-3</w:t>
            </w:r>
            <w:r>
              <w:rPr>
                <w:sz w:val="20"/>
              </w:rPr>
              <w:t xml:space="preserve"> måneders kontroll i spesialisthelsetjenesten </w:t>
            </w:r>
            <w:r w:rsidRPr="008C13AF">
              <w:rPr>
                <w:sz w:val="20"/>
              </w:rPr>
              <w:t>bør utføres ved en avdeling for fysikalsk medisin og rehabilitering og ikke ved en nevrologisk avdeling slik største andel av pasienter får i dag.</w:t>
            </w:r>
          </w:p>
          <w:p w:rsidR="006F4902" w:rsidRPr="008C13AF" w:rsidRDefault="006F4902">
            <w:pPr>
              <w:rPr>
                <w:b/>
                <w:i/>
                <w:sz w:val="20"/>
              </w:rPr>
            </w:pPr>
          </w:p>
        </w:tc>
      </w:tr>
      <w:tr w:rsidR="0080397A" w:rsidTr="00542A6C"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0397A" w:rsidRPr="00542A6C" w:rsidRDefault="0080397A">
            <w:pPr>
              <w:rPr>
                <w:b/>
                <w:sz w:val="20"/>
              </w:rPr>
            </w:pPr>
            <w:r w:rsidRPr="00542A6C">
              <w:rPr>
                <w:b/>
                <w:sz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A" w:rsidRDefault="008039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Oversikt over forløpstider</w:t>
            </w:r>
          </w:p>
          <w:p w:rsidR="0080397A" w:rsidRDefault="0080397A">
            <w:pPr>
              <w:rPr>
                <w:b/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0397A" w:rsidRDefault="0080397A">
            <w:pPr>
              <w:rPr>
                <w:b/>
                <w:i/>
              </w:rPr>
            </w:pPr>
          </w:p>
        </w:tc>
      </w:tr>
    </w:tbl>
    <w:p w:rsidR="000D67BB" w:rsidRDefault="000D67BB" w:rsidP="000D67BB"/>
    <w:p w:rsidR="000D67BB" w:rsidRDefault="000D67BB" w:rsidP="000D67BB"/>
    <w:p w:rsidR="000D67BB" w:rsidRDefault="000D67BB" w:rsidP="000D67BB"/>
    <w:p w:rsidR="00FE5D13" w:rsidRDefault="00FE5D13" w:rsidP="000D67BB"/>
    <w:p w:rsidR="00FE5D13" w:rsidRDefault="00FE5D13" w:rsidP="000D67BB"/>
    <w:p w:rsidR="00FE5D13" w:rsidRDefault="00FE5D13" w:rsidP="000D67BB"/>
    <w:p w:rsidR="000D67BB" w:rsidRDefault="000D67BB" w:rsidP="000D67BB">
      <w:r>
        <w:t>Utfylt skjema sendes</w:t>
      </w:r>
    </w:p>
    <w:p w:rsidR="000D67BB" w:rsidRDefault="000D67BB" w:rsidP="000D67BB"/>
    <w:p w:rsidR="000D67BB" w:rsidRDefault="00191135" w:rsidP="000D67BB">
      <w:hyperlink r:id="rId12" w:history="1">
        <w:r w:rsidR="000D67BB" w:rsidRPr="00EC723A">
          <w:rPr>
            <w:rStyle w:val="Hyperkobling"/>
          </w:rPr>
          <w:t>liv.hege.kateraas@helsedir.no</w:t>
        </w:r>
      </w:hyperlink>
    </w:p>
    <w:p w:rsidR="00177107" w:rsidRDefault="00177107"/>
    <w:sectPr w:rsidR="0017710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35" w:rsidRDefault="00191135" w:rsidP="0080397A">
      <w:r>
        <w:separator/>
      </w:r>
    </w:p>
  </w:endnote>
  <w:endnote w:type="continuationSeparator" w:id="0">
    <w:p w:rsidR="00191135" w:rsidRDefault="00191135" w:rsidP="0080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35" w:rsidRDefault="00191135" w:rsidP="0080397A">
      <w:r>
        <w:separator/>
      </w:r>
    </w:p>
  </w:footnote>
  <w:footnote w:type="continuationSeparator" w:id="0">
    <w:p w:rsidR="00191135" w:rsidRDefault="00191135" w:rsidP="00803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573" w:rsidRDefault="008809C5">
    <w:pPr>
      <w:pStyle w:val="Topptekst"/>
    </w:pPr>
    <w:r>
      <w:t>12</w:t>
    </w:r>
    <w:r w:rsidR="00B92573">
      <w:t>.12.2017</w:t>
    </w:r>
  </w:p>
  <w:p w:rsidR="004A66DA" w:rsidRDefault="004A66D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A6D"/>
    <w:multiLevelType w:val="hybridMultilevel"/>
    <w:tmpl w:val="111474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D645A"/>
    <w:multiLevelType w:val="hybridMultilevel"/>
    <w:tmpl w:val="90AEDE24"/>
    <w:lvl w:ilvl="0" w:tplc="039CBF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C37406"/>
    <w:multiLevelType w:val="hybridMultilevel"/>
    <w:tmpl w:val="ECCA9C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E2AE5"/>
    <w:multiLevelType w:val="hybridMultilevel"/>
    <w:tmpl w:val="E1562364"/>
    <w:lvl w:ilvl="0" w:tplc="97E6E604">
      <w:start w:val="1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3E4A56"/>
    <w:multiLevelType w:val="hybridMultilevel"/>
    <w:tmpl w:val="7518B0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E74AD"/>
    <w:multiLevelType w:val="hybridMultilevel"/>
    <w:tmpl w:val="D56E9A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BB"/>
    <w:rsid w:val="00024CB3"/>
    <w:rsid w:val="000606C9"/>
    <w:rsid w:val="00097545"/>
    <w:rsid w:val="000A4DDF"/>
    <w:rsid w:val="000D19B1"/>
    <w:rsid w:val="000D67BB"/>
    <w:rsid w:val="000F2E4F"/>
    <w:rsid w:val="00177107"/>
    <w:rsid w:val="00191135"/>
    <w:rsid w:val="002009E9"/>
    <w:rsid w:val="00265EFF"/>
    <w:rsid w:val="0033243B"/>
    <w:rsid w:val="00343A4C"/>
    <w:rsid w:val="00350013"/>
    <w:rsid w:val="00374A48"/>
    <w:rsid w:val="003A2D70"/>
    <w:rsid w:val="003C75D1"/>
    <w:rsid w:val="003D166E"/>
    <w:rsid w:val="00416BE1"/>
    <w:rsid w:val="004A10AB"/>
    <w:rsid w:val="004A66DA"/>
    <w:rsid w:val="004D5EA1"/>
    <w:rsid w:val="004E2AA4"/>
    <w:rsid w:val="00542A6C"/>
    <w:rsid w:val="005556E4"/>
    <w:rsid w:val="00565A38"/>
    <w:rsid w:val="00581C5E"/>
    <w:rsid w:val="00592A9F"/>
    <w:rsid w:val="005C64B1"/>
    <w:rsid w:val="00613EE6"/>
    <w:rsid w:val="0061706E"/>
    <w:rsid w:val="00652B98"/>
    <w:rsid w:val="006E344D"/>
    <w:rsid w:val="006E741F"/>
    <w:rsid w:val="006F4902"/>
    <w:rsid w:val="00732949"/>
    <w:rsid w:val="0074073E"/>
    <w:rsid w:val="00757349"/>
    <w:rsid w:val="00763546"/>
    <w:rsid w:val="007B77F2"/>
    <w:rsid w:val="0080397A"/>
    <w:rsid w:val="00872905"/>
    <w:rsid w:val="008809C5"/>
    <w:rsid w:val="008A3A49"/>
    <w:rsid w:val="008C13AF"/>
    <w:rsid w:val="008F5480"/>
    <w:rsid w:val="00A015B2"/>
    <w:rsid w:val="00AD207C"/>
    <w:rsid w:val="00B6227E"/>
    <w:rsid w:val="00B6328D"/>
    <w:rsid w:val="00B73B76"/>
    <w:rsid w:val="00B76B56"/>
    <w:rsid w:val="00B77D45"/>
    <w:rsid w:val="00B81887"/>
    <w:rsid w:val="00B87044"/>
    <w:rsid w:val="00B92573"/>
    <w:rsid w:val="00BA4FA7"/>
    <w:rsid w:val="00BB19D3"/>
    <w:rsid w:val="00BF0005"/>
    <w:rsid w:val="00C051E8"/>
    <w:rsid w:val="00C179DF"/>
    <w:rsid w:val="00C25746"/>
    <w:rsid w:val="00C311C0"/>
    <w:rsid w:val="00C33256"/>
    <w:rsid w:val="00C55242"/>
    <w:rsid w:val="00CA3115"/>
    <w:rsid w:val="00CD18EB"/>
    <w:rsid w:val="00CF40C7"/>
    <w:rsid w:val="00E660C5"/>
    <w:rsid w:val="00EB4779"/>
    <w:rsid w:val="00ED602B"/>
    <w:rsid w:val="00FB4E7F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BB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nhideWhenUsed/>
    <w:rsid w:val="000D67BB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D67B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67BB"/>
    <w:rPr>
      <w:rFonts w:ascii="Tahoma" w:eastAsia="Times New Roman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0397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0397A"/>
    <w:rPr>
      <w:rFonts w:ascii="Arial" w:eastAsia="Times New Roman" w:hAnsi="Arial" w:cs="Times New Roman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80397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0397A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097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ED6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BB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nhideWhenUsed/>
    <w:rsid w:val="000D67BB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D67B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67BB"/>
    <w:rPr>
      <w:rFonts w:ascii="Tahoma" w:eastAsia="Times New Roman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0397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0397A"/>
    <w:rPr>
      <w:rFonts w:ascii="Arial" w:eastAsia="Times New Roman" w:hAnsi="Arial" w:cs="Times New Roman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80397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0397A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097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ED6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liv.hege.kateraas@helsedir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AEE8-4972-4DDC-B5DD-23A2F661C9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266989-67BD-4304-B1E5-07D72FC5C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5B032-FDDD-42D9-A6F2-4D88163AA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BB00FC-D83B-4537-85E8-D8765114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 Hege Kateraas</dc:creator>
  <cp:lastModifiedBy>Michal Haveland</cp:lastModifiedBy>
  <cp:revision>2</cp:revision>
  <cp:lastPrinted>2017-12-12T14:28:00Z</cp:lastPrinted>
  <dcterms:created xsi:type="dcterms:W3CDTF">2017-12-12T15:08:00Z</dcterms:created>
  <dcterms:modified xsi:type="dcterms:W3CDTF">2017-12-12T15:08:00Z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